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E8" w:rsidRDefault="002F24FD">
      <w:pPr>
        <w:pStyle w:val="Nagwek"/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4285619" cy="1134112"/>
            <wp:effectExtent l="0" t="0" r="631" b="8888"/>
            <wp:docPr id="1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5619" cy="11341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11E8" w:rsidRDefault="00A911E8">
      <w:pPr>
        <w:jc w:val="right"/>
        <w:rPr>
          <w:rFonts w:ascii="Ubuntu" w:hAnsi="Ubuntu"/>
        </w:rPr>
      </w:pPr>
    </w:p>
    <w:p w:rsidR="00A911E8" w:rsidRDefault="002F24FD">
      <w:pPr>
        <w:jc w:val="right"/>
        <w:rPr>
          <w:rFonts w:ascii="Ubuntu" w:hAnsi="Ubuntu"/>
        </w:rPr>
      </w:pPr>
      <w:r>
        <w:rPr>
          <w:rFonts w:ascii="Ubuntu" w:hAnsi="Ubuntu"/>
        </w:rPr>
        <w:t xml:space="preserve">Załącznik nr 2 do Umowy o dofinansowanie nr ……………………….. </w:t>
      </w:r>
    </w:p>
    <w:p w:rsidR="00A911E8" w:rsidRDefault="002F24FD">
      <w:pPr>
        <w:jc w:val="right"/>
        <w:rPr>
          <w:rFonts w:ascii="Ubuntu" w:hAnsi="Ubuntu"/>
        </w:rPr>
      </w:pPr>
      <w:r>
        <w:rPr>
          <w:rFonts w:ascii="Ubuntu" w:hAnsi="Ubuntu"/>
        </w:rPr>
        <w:t>z dnia ………………………..</w:t>
      </w:r>
    </w:p>
    <w:p w:rsidR="00A911E8" w:rsidRDefault="00A911E8">
      <w:pPr>
        <w:jc w:val="center"/>
        <w:rPr>
          <w:rFonts w:ascii="Ubuntu" w:hAnsi="Ubuntu"/>
          <w:b/>
          <w:bCs/>
        </w:rPr>
      </w:pPr>
    </w:p>
    <w:p w:rsidR="00A911E8" w:rsidRDefault="002F24FD">
      <w:pPr>
        <w:jc w:val="center"/>
      </w:pPr>
      <w:r>
        <w:rPr>
          <w:rFonts w:ascii="Ubuntu" w:hAnsi="Ubuntu"/>
          <w:b/>
          <w:bCs/>
        </w:rPr>
        <w:t>Mechanizm monitorowania i wycofania w przypadku finansowania infrastruktury podwójnego wykorzystania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 xml:space="preserve">W </w:t>
      </w:r>
      <w:r>
        <w:rPr>
          <w:rFonts w:ascii="Ubuntu" w:hAnsi="Ubuntu"/>
        </w:rPr>
        <w:t xml:space="preserve">przypadku projektów realizowanych ze środków Programu Fundusze Europejskie dla Rybactwa na lata 2021-2027, które są realizowane w obiektach, w których </w:t>
      </w:r>
      <w:r>
        <w:rPr>
          <w:rFonts w:ascii="Ubuntu" w:hAnsi="Ubuntu"/>
          <w:b/>
          <w:bCs/>
        </w:rPr>
        <w:t>obok działalności niemającej charakter komercyjny</w:t>
      </w:r>
      <w:r>
        <w:rPr>
          <w:rFonts w:ascii="Ubuntu" w:hAnsi="Ubuntu"/>
        </w:rPr>
        <w:t xml:space="preserve"> </w:t>
      </w:r>
      <w:r>
        <w:rPr>
          <w:rFonts w:ascii="Ubuntu" w:hAnsi="Ubuntu"/>
          <w:b/>
          <w:bCs/>
        </w:rPr>
        <w:t>jest również prowadzona działalność gospodarcza</w:t>
      </w:r>
      <w:r>
        <w:rPr>
          <w:rFonts w:ascii="Ubuntu" w:hAnsi="Ubuntu"/>
        </w:rPr>
        <w:t xml:space="preserve"> w rozum</w:t>
      </w:r>
      <w:r>
        <w:rPr>
          <w:rFonts w:ascii="Ubuntu" w:hAnsi="Ubuntu"/>
        </w:rPr>
        <w:t xml:space="preserve">ieniu przepisów prawa Unii Europejskiej o pomocy publicznej, </w:t>
      </w:r>
      <w:r>
        <w:rPr>
          <w:rFonts w:ascii="Ubuntu" w:hAnsi="Ubuntu"/>
          <w:b/>
          <w:bCs/>
        </w:rPr>
        <w:t>wykraczająca poza sektor rybołówstwa i akwakultury</w:t>
      </w:r>
      <w:r>
        <w:rPr>
          <w:rFonts w:ascii="Ubuntu" w:hAnsi="Ubuntu"/>
        </w:rPr>
        <w:t>, zastosowanie znajdą postanowienia niniejszego Załącznika.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>Obowiązek zastosowania tzw. mechanizmu monitorowania i wycofania w odniesieniu do dzi</w:t>
      </w:r>
      <w:r>
        <w:rPr>
          <w:rFonts w:ascii="Ubuntu" w:hAnsi="Ubuntu"/>
        </w:rPr>
        <w:t>ałalności prowadzonej na tej infrastrukturze otrzymującej finansowanie publiczne uregulowano w pkt 207 Komunikatu Komisji, Zawiadomienie Komisji w sprawie pojęcia pomocy państwa w rozumieniu art. 107 ust. 1 TFUE (2016/C 262/01). Uwzględniając zapisy pkt 20</w:t>
      </w:r>
      <w:r>
        <w:rPr>
          <w:rFonts w:ascii="Ubuntu" w:hAnsi="Ubuntu"/>
        </w:rPr>
        <w:t>7 Komunikatu Komisji, Zawiadomienie Komisji w sprawie pojęcia pomocy państwa w rozumieniu art. 107 ust. 1 TFUE (2016/C 262/01), w przypadkach infrastruktury podwójnego wykorzystania, jeżeli jest ona prawie wyłącznie wykorzystywana do celów działalności nie</w:t>
      </w:r>
      <w:r>
        <w:rPr>
          <w:rFonts w:ascii="Ubuntu" w:hAnsi="Ubuntu"/>
        </w:rPr>
        <w:t>gospodarczej, Komisja Europejska uznała, że finansowanie takiej infrastruktury może w całości wykraczać poza zakres zasad pomocy państwa, pod warunkiem, że użytkowanie do celów działalności gospodarczej ma charakter czysto pomocniczy. Działalność gospodarc</w:t>
      </w:r>
      <w:r>
        <w:rPr>
          <w:rFonts w:ascii="Ubuntu" w:hAnsi="Ubuntu"/>
        </w:rPr>
        <w:t>za ma charakter pomocniczy, o ile ma charakter „działalności bezpośrednio powiązanej z eksploatacją infrastruktury, koniecznej do eksploatacji infrastruktury lub nieodłącznie związanej z podstawowym wykorzystaniem o charakterze niegospodarczym oraz pochłan</w:t>
      </w:r>
      <w:r>
        <w:rPr>
          <w:rFonts w:ascii="Ubuntu" w:hAnsi="Ubuntu"/>
        </w:rPr>
        <w:t xml:space="preserve">ia takie same nakłady jak podstawowa działalność o charakterze niegospodarczym, takie jak materiały, sprzęt, siła robocza lub aktywa trwałe”. </w:t>
      </w:r>
      <w:r>
        <w:rPr>
          <w:rFonts w:ascii="Ubuntu" w:hAnsi="Ubuntu"/>
          <w:b/>
          <w:bCs/>
        </w:rPr>
        <w:t>Działalność gospodarcza wynikająca z wykorzystania infrastruktury całkowicie zachowa swój dodatkowy charakter, w s</w:t>
      </w:r>
      <w:r>
        <w:rPr>
          <w:rFonts w:ascii="Ubuntu" w:hAnsi="Ubuntu"/>
          <w:b/>
          <w:bCs/>
        </w:rPr>
        <w:t>ytuacji, gdy wydajność przydzielona co roku na taką działalność nie przekracza 20% całkowitej rocznej wydajności infrastruktury</w:t>
      </w:r>
      <w:r>
        <w:rPr>
          <w:rFonts w:ascii="Ubuntu" w:hAnsi="Ubuntu"/>
        </w:rPr>
        <w:t xml:space="preserve">. W takim przypadku, prowadzenie działalności gospodarczej wyłącznie o charakterze pomocniczym względem działalności podstawowej </w:t>
      </w:r>
      <w:r>
        <w:rPr>
          <w:rFonts w:ascii="Ubuntu" w:hAnsi="Ubuntu"/>
        </w:rPr>
        <w:t>(niegospodarczej) stanowi wyjątek od obowiązku stosowania przepisów pomocy publicznej. W pozostałych sytuacjach prowadzenie działalności gospodarczej z wykorzystaniem infrastruktury objętej wsparciem będzie wiązać się z koniecznością zastosowania przepisów</w:t>
      </w:r>
      <w:r>
        <w:rPr>
          <w:rFonts w:ascii="Ubuntu" w:hAnsi="Ubuntu"/>
        </w:rPr>
        <w:t xml:space="preserve"> dotyczących pomocy publicznej.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t>W związku z możliwością wystąpienia działalności gospodarczej, istnieje konieczność monitorowania sposobu wykorzystania infrastruktury, a następnie, w przypadku gdy zakres działalności gospodarczej przekroczy poziom założony</w:t>
      </w:r>
      <w:r>
        <w:rPr>
          <w:rFonts w:ascii="Ubuntu" w:hAnsi="Ubuntu"/>
        </w:rPr>
        <w:t xml:space="preserve"> na etapie podpisywania Umowy o dofinansowanie, istnieje konieczność dokonania zwrotu części dofinansowania uzyskanego na niegospodarczą część projektu.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lastRenderedPageBreak/>
        <w:t>Zakres zastosowania niniejszego Załącznika obejmuje wszystkie elementy infrastruktury, na które zostało</w:t>
      </w:r>
      <w:r>
        <w:rPr>
          <w:rFonts w:ascii="Ubuntu" w:hAnsi="Ubuntu"/>
        </w:rPr>
        <w:t xml:space="preserve"> udzielone dofinansowanie w ramach Projektu.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 xml:space="preserve">Okres stosowania mechanizmu monitorowania i wycofania, przewidzianego niniejszym Załącznikiem, odpowiada </w:t>
      </w:r>
      <w:r>
        <w:rPr>
          <w:rFonts w:ascii="Ubuntu" w:hAnsi="Ubuntu"/>
          <w:b/>
          <w:bCs/>
        </w:rPr>
        <w:t xml:space="preserve">okresowi amortyzacji właściwemu dla tego składnika infrastruktury objętego Projektem, który ma najdłuższy </w:t>
      </w:r>
      <w:r>
        <w:rPr>
          <w:rFonts w:ascii="Ubuntu" w:hAnsi="Ubuntu"/>
          <w:b/>
          <w:bCs/>
        </w:rPr>
        <w:t>okres amortyzacji</w:t>
      </w:r>
      <w:r>
        <w:rPr>
          <w:rFonts w:ascii="Ubuntu" w:hAnsi="Ubuntu"/>
        </w:rPr>
        <w:t xml:space="preserve"> </w:t>
      </w:r>
      <w:r>
        <w:rPr>
          <w:rFonts w:ascii="Ubuntu" w:hAnsi="Ubuntu"/>
          <w:b/>
          <w:bCs/>
        </w:rPr>
        <w:t>i wynosi [</w:t>
      </w:r>
      <w:r>
        <w:rPr>
          <w:rFonts w:ascii="Ubuntu" w:hAnsi="Ubuntu"/>
        </w:rPr>
        <w:t>długość okresu amortyzacji w latach</w:t>
      </w:r>
      <w:bookmarkStart w:id="1" w:name="_Ref210897200"/>
      <w:bookmarkStart w:id="2" w:name="_Ref210900215"/>
      <w:r>
        <w:rPr>
          <w:rFonts w:ascii="Ubuntu" w:hAnsi="Ubuntu"/>
          <w:b/>
          <w:bCs/>
        </w:rPr>
        <w:t>]</w:t>
      </w:r>
      <w:r>
        <w:rPr>
          <w:rStyle w:val="Odwoanieprzypisudolnego"/>
          <w:rFonts w:ascii="Ubuntu" w:hAnsi="Ubuntu"/>
          <w:b/>
          <w:bCs/>
        </w:rPr>
        <w:footnoteReference w:id="1"/>
      </w:r>
      <w:bookmarkEnd w:id="1"/>
      <w:bookmarkEnd w:id="2"/>
      <w:r>
        <w:rPr>
          <w:rFonts w:ascii="Ubuntu" w:hAnsi="Ubuntu"/>
          <w:b/>
          <w:bCs/>
          <w:vertAlign w:val="superscript"/>
        </w:rPr>
        <w:t xml:space="preserve"> </w:t>
      </w:r>
      <w:r>
        <w:rPr>
          <w:rFonts w:ascii="Ubuntu" w:hAnsi="Ubuntu"/>
        </w:rPr>
        <w:t>. Okres stosowania mechanizmu monitorowania i wycofania rozpoczyna się od zakończenia realizacji Projektu.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  <w:rPr>
          <w:rFonts w:ascii="Ubuntu" w:hAnsi="Ubuntu"/>
        </w:rPr>
      </w:pPr>
      <w:r>
        <w:rPr>
          <w:rFonts w:ascii="Ubuntu" w:hAnsi="Ubuntu"/>
        </w:rPr>
        <w:t>Monitorowanie wykorzystania infrastruktury odbywa się</w:t>
      </w:r>
      <w:r>
        <w:rPr>
          <w:rFonts w:ascii="Ubuntu" w:hAnsi="Ubuntu"/>
        </w:rPr>
        <w:t xml:space="preserve"> w cyklach rocznych. Jeżeli rozpoczęcie lub zakończenie okresu stosowania mechanizmu monitorowania i wycofania przypada w trakcie roku sprawozdawczego, dany cykl sprawozdawczy obejmuje niepełny rok.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ind w:left="357"/>
      </w:pPr>
      <w:r>
        <w:rPr>
          <w:rFonts w:ascii="Ubuntu" w:hAnsi="Ubuntu"/>
        </w:rPr>
        <w:t>Monitorowanie wykorzystania infrastruktury odbywa się w o</w:t>
      </w:r>
      <w:r>
        <w:rPr>
          <w:rFonts w:ascii="Ubuntu" w:hAnsi="Ubuntu"/>
        </w:rPr>
        <w:t xml:space="preserve">parciu o </w:t>
      </w:r>
      <w:r>
        <w:rPr>
          <w:rFonts w:ascii="Ubuntu" w:hAnsi="Ubuntu"/>
          <w:b/>
          <w:bCs/>
        </w:rPr>
        <w:t>kryterium powierzchni / czasu wykorzystania danej infrastruktury</w:t>
      </w:r>
      <w:r>
        <w:rPr>
          <w:rStyle w:val="Odwoanieprzypisudolnego"/>
          <w:rFonts w:ascii="Ubuntu" w:hAnsi="Ubuntu"/>
          <w:b/>
          <w:bCs/>
        </w:rPr>
        <w:footnoteReference w:id="2"/>
      </w:r>
      <w:r>
        <w:rPr>
          <w:rFonts w:ascii="Ubuntu" w:hAnsi="Ubuntu"/>
        </w:rPr>
        <w:t xml:space="preserve">. 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</w:pPr>
      <w:r>
        <w:rPr>
          <w:rFonts w:ascii="Ubuntu" w:hAnsi="Ubuntu"/>
        </w:rPr>
        <w:t>Beneficjent oświadcza, że całkowite zasoby infrastruktury objętej Projektem w</w:t>
      </w:r>
      <w:r>
        <w:rPr>
          <w:rFonts w:ascii="Ubuntu" w:hAnsi="Ubuntu"/>
        </w:rPr>
        <w:t xml:space="preserve">ynoszą: </w:t>
      </w:r>
      <w:r>
        <w:rPr>
          <w:rFonts w:ascii="Ubuntu" w:hAnsi="Ubuntu"/>
          <w:b/>
          <w:bCs/>
        </w:rPr>
        <w:t>[</w:t>
      </w:r>
      <w:r>
        <w:rPr>
          <w:rFonts w:ascii="Ubuntu" w:hAnsi="Ubuntu"/>
        </w:rPr>
        <w:t>powierzchnia albo liczba godzin w roku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  <w:b/>
          <w:bCs/>
        </w:rPr>
        <w:t>,</w:t>
      </w:r>
      <w:r>
        <w:rPr>
          <w:rFonts w:ascii="Ubuntu" w:hAnsi="Ubuntu"/>
        </w:rPr>
        <w:t xml:space="preserve"> z czego nie więcej niż </w:t>
      </w:r>
      <w:r>
        <w:rPr>
          <w:rFonts w:ascii="Ubuntu" w:hAnsi="Ubuntu"/>
          <w:b/>
          <w:bCs/>
        </w:rPr>
        <w:t>[</w:t>
      </w:r>
      <w:r>
        <w:rPr>
          <w:rFonts w:ascii="Ubuntu" w:hAnsi="Ubuntu"/>
        </w:rPr>
        <w:t>powierzchnia albo liczba godzin w roku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</w:rPr>
        <w:t xml:space="preserve">będzie w okresie stosowania mechanizmu monitorowania i wycofania wykorzystywana w skali roku do prowadzenia działalności gospodarczej w </w:t>
      </w:r>
      <w:r>
        <w:rPr>
          <w:rFonts w:ascii="Ubuntu" w:hAnsi="Ubuntu"/>
        </w:rPr>
        <w:t>rozumieniu przepisów unijnych. Beneficjent oświadcza, że infrastruktura jako całość będzie w skali roku wykorzystywana do prowadzenia działalności gospodarczej nie więcej niż w</w:t>
      </w:r>
      <w:r>
        <w:rPr>
          <w:rFonts w:ascii="Ubuntu" w:hAnsi="Ubuntu"/>
          <w:b/>
          <w:bCs/>
        </w:rPr>
        <w:t xml:space="preserve"> [</w:t>
      </w:r>
      <w:r>
        <w:rPr>
          <w:rFonts w:ascii="Ubuntu" w:hAnsi="Ubuntu"/>
        </w:rPr>
        <w:t>procent %</w:t>
      </w:r>
      <w:r>
        <w:rPr>
          <w:rFonts w:ascii="Ubuntu" w:hAnsi="Ubuntu"/>
          <w:b/>
          <w:bCs/>
        </w:rPr>
        <w:t>]</w:t>
      </w:r>
      <w:r>
        <w:rPr>
          <w:rFonts w:ascii="Ubuntu" w:hAnsi="Ubuntu"/>
          <w:b/>
          <w:bCs/>
          <w:vertAlign w:val="superscript"/>
        </w:rPr>
        <w:t>35</w:t>
      </w:r>
      <w:r>
        <w:rPr>
          <w:rFonts w:ascii="Ubuntu" w:hAnsi="Ubuntu"/>
        </w:rPr>
        <w:t>;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Metodyka ustalająca podział wykorzystania infrastruktury na cele</w:t>
      </w:r>
      <w:r>
        <w:rPr>
          <w:rFonts w:ascii="Ubuntu" w:hAnsi="Ubuntu"/>
        </w:rPr>
        <w:t xml:space="preserve"> działalności gospodarczej i niegospodarczej ustalona przy umowie o dofinansowanie nie może ulec zmianie w całym okresie monitorowania.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Beneficjent wykorzystujący infrastrukturę powstałą w ramach Projektu do prowadzenia zarówno działalności gospodarczej, j</w:t>
      </w:r>
      <w:r>
        <w:rPr>
          <w:rFonts w:ascii="Ubuntu" w:hAnsi="Ubuntu"/>
        </w:rPr>
        <w:t>ak i niegospodarczej, zobowiązuje się do rozdzielenia kosztów, finansowania, i przychodów/dochodów z każdego rodzaju działalności, konsekwentnie stosując obiektywnie uzasadnione zasady rachunku kosztów. W związku z tym, wykazywane przez Beneficjenta propor</w:t>
      </w:r>
      <w:r>
        <w:rPr>
          <w:rFonts w:ascii="Ubuntu" w:hAnsi="Ubuntu"/>
        </w:rPr>
        <w:t xml:space="preserve">cje wykorzystania infrastruktury do obu rodzajów działalności powinny mieć odzwierciedlenie w stosownych dokumentach finansowo-księgowych lub innych dokumentach prezentujących wymagane informacje. 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W przypadku, gdy w którymkolwiek roku objętym mechanizmem </w:t>
      </w:r>
      <w:r>
        <w:rPr>
          <w:rFonts w:ascii="Ubuntu" w:hAnsi="Ubuntu"/>
        </w:rPr>
        <w:t>monitorowania i wycofania poziom zaangażowania infrastruktury do prowadzenia działalności gospodarczej przekroczy pułap ….…. %, Beneficjent będzie zobowiązany do poinformowania o tym fakcie Agencji i zwrotu części dofinansowania uzyskanego na niegospodarcz</w:t>
      </w:r>
      <w:r>
        <w:rPr>
          <w:rFonts w:ascii="Ubuntu" w:hAnsi="Ubuntu"/>
        </w:rPr>
        <w:t>ą część Projektu, wyliczonej według poniższego wzoru: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noProof/>
          <w:lang w:eastAsia="pl-PL"/>
        </w:rPr>
        <w:drawing>
          <wp:inline distT="0" distB="0" distL="0" distR="0">
            <wp:extent cx="5467353" cy="829305"/>
            <wp:effectExtent l="0" t="0" r="0" b="889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353" cy="8293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11E8" w:rsidRDefault="002F24FD">
      <w:pPr>
        <w:pStyle w:val="Akapitzlist"/>
        <w:spacing w:line="254" w:lineRule="auto"/>
        <w:ind w:left="360"/>
        <w:rPr>
          <w:rFonts w:ascii="Ubuntu" w:hAnsi="Ubuntu"/>
        </w:rPr>
      </w:pPr>
      <w:r>
        <w:rPr>
          <w:rFonts w:ascii="Ubuntu" w:hAnsi="Ubuntu"/>
        </w:rPr>
        <w:t>gdzie: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lastRenderedPageBreak/>
        <w:t>Z</w:t>
      </w:r>
      <w:r>
        <w:rPr>
          <w:rFonts w:ascii="Ubuntu" w:hAnsi="Ubuntu"/>
        </w:rPr>
        <w:t xml:space="preserve"> – kwota podlegająca zwrotowi;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SŚP</w:t>
      </w:r>
      <w:r>
        <w:rPr>
          <w:rFonts w:ascii="Ubuntu" w:hAnsi="Ubuntu"/>
        </w:rPr>
        <w:t xml:space="preserve"> – suma środków publicznych</w:t>
      </w:r>
      <w:bookmarkStart w:id="3" w:name="_Ref210898342"/>
      <w:r>
        <w:rPr>
          <w:rStyle w:val="Odwoanieprzypisudolnego"/>
          <w:rFonts w:ascii="Ubuntu" w:hAnsi="Ubuntu"/>
        </w:rPr>
        <w:footnoteReference w:id="3"/>
      </w:r>
      <w:bookmarkEnd w:id="3"/>
      <w:r>
        <w:rPr>
          <w:rFonts w:ascii="Ubuntu" w:hAnsi="Ubuntu"/>
        </w:rPr>
        <w:t xml:space="preserve"> udzielonych na inwestycję</w:t>
      </w:r>
      <w:r>
        <w:rPr>
          <w:rFonts w:ascii="Ubuntu" w:hAnsi="Ubuntu"/>
        </w:rPr>
        <w:t xml:space="preserve"> w zakresie infrastruktury (tj. suma dofinansowania w zakresie działalności gospodarczej i niegospodarczej, stanowiącego pomoc publiczną, jak i niestanowiącego pomocy publicznej) adekwatna do danego okresu amortyzacji;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 xml:space="preserve">OA </w:t>
      </w:r>
      <w:r>
        <w:rPr>
          <w:rFonts w:ascii="Ubuntu" w:hAnsi="Ubuntu"/>
        </w:rPr>
        <w:t>– okres amortyzacji infrastruktury</w:t>
      </w:r>
      <w:r>
        <w:rPr>
          <w:rFonts w:ascii="Ubuntu" w:hAnsi="Ubuntu"/>
        </w:rPr>
        <w:t>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 xml:space="preserve">DNG </w:t>
      </w:r>
      <w:r>
        <w:rPr>
          <w:rFonts w:ascii="Ubuntu" w:hAnsi="Ubuntu"/>
        </w:rPr>
        <w:t>– procentowy udział działalności niegospodarczej w wykorzystaniu rocznych zasobów infrastruktury w danym roku sprawozdawczym;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Idng</w:t>
      </w:r>
      <w:r>
        <w:rPr>
          <w:rFonts w:ascii="Ubuntu" w:hAnsi="Ubuntu"/>
        </w:rPr>
        <w:t xml:space="preserve"> – wyrażona w % intensywność dofinansowania infrastruktury ze środków publicznych w zakresie działalności niebędącej dzi</w:t>
      </w:r>
      <w:r>
        <w:rPr>
          <w:rFonts w:ascii="Ubuntu" w:hAnsi="Ubuntu"/>
        </w:rPr>
        <w:t>ałalnością gospodarczą (dofinansowanie niestanowiące pomocy publicznej);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KK</w:t>
      </w:r>
      <w:r>
        <w:rPr>
          <w:rFonts w:ascii="Ubuntu" w:hAnsi="Ubuntu"/>
        </w:rPr>
        <w:t xml:space="preserve"> – całkowite koszty kwalifikowalne dla całości dofinansowania publicznego</w:t>
      </w:r>
      <w:r>
        <w:rPr>
          <w:rFonts w:ascii="Ubuntu" w:hAnsi="Ubuntu"/>
          <w:vertAlign w:val="superscript"/>
        </w:rPr>
        <w:t>37</w:t>
      </w:r>
      <w:r>
        <w:rPr>
          <w:rFonts w:ascii="Ubuntu" w:hAnsi="Ubuntu"/>
        </w:rPr>
        <w:t xml:space="preserve"> (tj. dla sumy dofinansowania w zakresie działalności gospodarczej i niegospodarczej, stanowiącego pomoc p</w:t>
      </w:r>
      <w:r>
        <w:rPr>
          <w:rFonts w:ascii="Ubuntu" w:hAnsi="Ubuntu"/>
        </w:rPr>
        <w:t>ubliczną, jak i niestanowiącego pomocy publicznej) infrastruktury;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>DG</w:t>
      </w:r>
      <w:r>
        <w:rPr>
          <w:rFonts w:ascii="Ubuntu" w:hAnsi="Ubuntu"/>
        </w:rPr>
        <w:t xml:space="preserve"> – procentowy udział działalności gospodarczej w wykorzystaniu rocznych zasobów infrastruktury w danym roku sprawozdawczym;</w:t>
      </w:r>
    </w:p>
    <w:p w:rsidR="00A911E8" w:rsidRDefault="002F24FD">
      <w:pPr>
        <w:pStyle w:val="Akapitzlist"/>
        <w:spacing w:line="254" w:lineRule="auto"/>
        <w:ind w:left="360"/>
      </w:pPr>
      <w:r>
        <w:rPr>
          <w:rFonts w:ascii="Ubuntu" w:hAnsi="Ubuntu"/>
          <w:b/>
          <w:bCs/>
        </w:rPr>
        <w:t xml:space="preserve">Idg </w:t>
      </w:r>
      <w:r>
        <w:rPr>
          <w:rFonts w:ascii="Ubuntu" w:hAnsi="Ubuntu"/>
        </w:rPr>
        <w:t>– wyrażona w % intensywność dofinansowania infrastruktury z</w:t>
      </w:r>
      <w:r>
        <w:rPr>
          <w:rFonts w:ascii="Ubuntu" w:hAnsi="Ubuntu"/>
        </w:rPr>
        <w:t>e środków publicznych w zakresie działalności gospodarczej (dofinansowanie stanowiące pomoc publiczną).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Wyliczenia kwoty podlegającej zwrotowi dokonuje Agencja po otrzymaniu od Beneficjenta informacji o przekroczeniu dopuszczalnego pułapu zaangażowania inf</w:t>
      </w:r>
      <w:r>
        <w:rPr>
          <w:rFonts w:ascii="Ubuntu" w:hAnsi="Ubuntu"/>
        </w:rPr>
        <w:t>rastruktury do prowadzenia działalności gospodarczej. Agencja może zażądać od Beneficjenta dodatkowych informacji lub wyjaśnień celem prawidłowego określenia wartości zwrotu.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Przy obliczaniu kwoty podlegającej zwrotowi bierze się pod uwagę ewentualne korek</w:t>
      </w:r>
      <w:r>
        <w:rPr>
          <w:rFonts w:ascii="Ubuntu" w:hAnsi="Ubuntu"/>
        </w:rPr>
        <w:t>ty kosztów lub pomniejszenia dofinansowania (związane np. ze zmianą kwalifikowalności podatku VAT czy innymi korektami nałożonymi w trakcie realizacji Projektu), dokonane na moment zakończenia danego roku sprawozdawczego.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Beneficjent zwraca kwotę podlegają</w:t>
      </w:r>
      <w:r>
        <w:rPr>
          <w:rFonts w:ascii="Ubuntu" w:hAnsi="Ubuntu"/>
        </w:rPr>
        <w:t>cą zwrotowi do Agencji w terminie 60 dni od zakończenia danego roku sprawozdawczego. Kwota zwrócona w terminie, o którym mowa w zdaniu poprzedzającym, nie podlega powiększeniu o odsetki.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Niedokonanie zwrotu prawidłowo wyliczonej kwoty w terminie, o którym </w:t>
      </w:r>
      <w:r>
        <w:rPr>
          <w:rFonts w:ascii="Ubuntu" w:hAnsi="Ubuntu"/>
        </w:rPr>
        <w:t>mowa w pkt 16 niniejszego Załącznika, stanowi wykorzystanie dofinansowania z naruszeniem procedur, o których mowa w art. 207 ust. 1 pkt 2 ustawy o finansach publicznych i jest przesłanką do zwrotu środków wraz z odsetkami w wysokości określonej jak dla zal</w:t>
      </w:r>
      <w:r>
        <w:rPr>
          <w:rFonts w:ascii="Ubuntu" w:hAnsi="Ubuntu"/>
        </w:rPr>
        <w:t>egłości podatkowych, liczonymi od dnia przekazania środków.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 xml:space="preserve">W przypadku wykorzystania infrastruktury powyżej poziomu 20% do celów działalności gospodarczej, poza dokonaniem zwrotu części dofinansowania, konieczne jest przeprowadzenie procedury legalizacji </w:t>
      </w:r>
      <w:r>
        <w:rPr>
          <w:rFonts w:ascii="Ubuntu" w:hAnsi="Ubuntu"/>
        </w:rPr>
        <w:t>pomocy publicznej niepodlegającej zwrotowi. Legalizacja pomocy publicznej wymaga weryfikacji zgodności z obowiązującymi przepisami prawa oraz podpisania aneksu do Umowy o dofinansowanie.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  <w:rPr>
          <w:rFonts w:ascii="Ubuntu" w:hAnsi="Ubuntu"/>
        </w:rPr>
      </w:pPr>
      <w:r>
        <w:rPr>
          <w:rFonts w:ascii="Ubuntu" w:hAnsi="Ubuntu"/>
        </w:rPr>
        <w:t>W sytuacji, gdy w związku z wystąpieniem lub realizacją w większym za</w:t>
      </w:r>
      <w:r>
        <w:rPr>
          <w:rFonts w:ascii="Ubuntu" w:hAnsi="Ubuntu"/>
        </w:rPr>
        <w:t>kresie działalności gospodarczej, w tym objętej mechanizmem monitorowania i wycofania, w stosunku do założeń przyjętych na etapie podpisywania Umowy o dofinansowanie, wystąpi możliwość odzyskania VAT - Beneficjent jest zobowiązany w ciągu 30 dni poinformow</w:t>
      </w:r>
      <w:r>
        <w:rPr>
          <w:rFonts w:ascii="Ubuntu" w:hAnsi="Ubuntu"/>
        </w:rPr>
        <w:t>ać Agencję o tym fakcie oraz dokonać zwrotu VAT w terminie wskazanym przez Agencję, nie krótszym niż 7 dni. W uzasadnionych przypadkach termin ten może zostać przedłużony przez Agencję na wniosek Beneficjenta. W przypadku zmiany kwalifikowalności VAT i zwi</w:t>
      </w:r>
      <w:r>
        <w:rPr>
          <w:rFonts w:ascii="Ubuntu" w:hAnsi="Ubuntu"/>
        </w:rPr>
        <w:t>ązanej z tym korekty kosztów kwalifikowalnych oraz poziomu dofinansowania, konieczne jest uwzględnienie takich korekt w ramach wyliczenia kwoty podlegającej zwrotowi, o czym mowa w pkt 13 niniejszego Załącznika.</w:t>
      </w:r>
    </w:p>
    <w:p w:rsidR="00A911E8" w:rsidRDefault="002F24FD">
      <w:pPr>
        <w:pStyle w:val="Akapitzlist"/>
        <w:numPr>
          <w:ilvl w:val="0"/>
          <w:numId w:val="1"/>
        </w:numPr>
        <w:spacing w:line="254" w:lineRule="auto"/>
      </w:pPr>
      <w:r>
        <w:rPr>
          <w:rFonts w:ascii="Ubuntu" w:hAnsi="Ubuntu"/>
        </w:rPr>
        <w:t xml:space="preserve">Niedokonanie zwrotu prawidłowo wyliczonej </w:t>
      </w:r>
      <w:r>
        <w:rPr>
          <w:rFonts w:ascii="Ubuntu" w:hAnsi="Ubuntu"/>
        </w:rPr>
        <w:t>kwoty w terminie, o którym mowa w pkt 17 niniejszego Załącznika, stanowi wykorzystanie dofinansowania z naruszeniem procedur, o których mowa w art. 207 ust. 1 pkt 2 ustawy o finansach publicznych i jest przesłanką do zwrotu środków wraz z odsetkami w wysok</w:t>
      </w:r>
      <w:r>
        <w:rPr>
          <w:rFonts w:ascii="Ubuntu" w:hAnsi="Ubuntu"/>
        </w:rPr>
        <w:t>ości określonej jak dla zaległości podatkowych, liczonymi od dnia przekazania środków.</w:t>
      </w:r>
    </w:p>
    <w:sectPr w:rsidR="00A911E8">
      <w:headerReference w:type="default" r:id="rId9"/>
      <w:footnotePr>
        <w:numStart w:val="35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24FD">
      <w:pPr>
        <w:spacing w:after="0" w:line="240" w:lineRule="auto"/>
      </w:pPr>
      <w:r>
        <w:separator/>
      </w:r>
    </w:p>
  </w:endnote>
  <w:endnote w:type="continuationSeparator" w:id="0">
    <w:p w:rsidR="00000000" w:rsidRDefault="002F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24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F24FD">
      <w:pPr>
        <w:spacing w:after="0" w:line="240" w:lineRule="auto"/>
      </w:pPr>
      <w:r>
        <w:continuationSeparator/>
      </w:r>
    </w:p>
  </w:footnote>
  <w:footnote w:id="1">
    <w:p w:rsidR="00A911E8" w:rsidRDefault="002F24FD">
      <w:pPr>
        <w:pStyle w:val="Tekstprzypisudolnego"/>
      </w:pPr>
      <w:r>
        <w:rPr>
          <w:rStyle w:val="Odwoanieprzypisudolnego"/>
        </w:rPr>
        <w:footnoteRef/>
      </w:r>
      <w:r>
        <w:rPr>
          <w:rFonts w:ascii="Ubuntu" w:hAnsi="Ubuntu"/>
          <w:sz w:val="18"/>
          <w:szCs w:val="18"/>
        </w:rPr>
        <w:t xml:space="preserve"> Należy podać właściwe dane.</w:t>
      </w:r>
    </w:p>
  </w:footnote>
  <w:footnote w:id="2">
    <w:p w:rsidR="00A911E8" w:rsidRDefault="002F24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Ubuntu" w:hAnsi="Ubuntu"/>
          <w:sz w:val="18"/>
          <w:szCs w:val="18"/>
        </w:rPr>
        <w:t>Należy wybrać w zależności od charakteru infrastruktury odpowiedni wskaźnik, niepotrzebne skreślić.</w:t>
      </w:r>
    </w:p>
  </w:footnote>
  <w:footnote w:id="3">
    <w:p w:rsidR="00A911E8" w:rsidRDefault="002F24FD">
      <w:pPr>
        <w:pStyle w:val="Tekstprzypisudolnego"/>
      </w:pPr>
      <w:r>
        <w:rPr>
          <w:rStyle w:val="Odwoanieprzypisudolnego"/>
        </w:rPr>
        <w:footnoteRef/>
      </w:r>
      <w:r>
        <w:rPr>
          <w:rFonts w:ascii="Ubuntu" w:hAnsi="Ubuntu"/>
          <w:sz w:val="18"/>
          <w:szCs w:val="18"/>
        </w:rPr>
        <w:t xml:space="preserve"> Jeżeli na daną infrastrukturę Beneficjent otrzymuje wsparcie publiczne również z innych źródeł, należy brać pod uwagę wszystkie</w:t>
      </w:r>
      <w:r>
        <w:rPr>
          <w:rFonts w:ascii="Ubuntu" w:hAnsi="Ubuntu"/>
          <w:sz w:val="18"/>
          <w:szCs w:val="18"/>
        </w:rPr>
        <w:t xml:space="preserve"> źródła finansowania tj. dofinansowanie ze środków Priorytetu 3, finansowanie z innych priorytetów programu lub innych środków publicznych i zasady, na jakich wsparcie to zostało udzielone, oraz włączyć je w zakres monitorowania.</w:t>
      </w:r>
      <w:r>
        <w:rPr>
          <w:rFonts w:ascii="Ubuntu" w:hAnsi="Ubuntu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CD6" w:rsidRDefault="002F24F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2198D"/>
    <w:multiLevelType w:val="multilevel"/>
    <w:tmpl w:val="C5FE4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autoHyphenation/>
  <w:hyphenationZone w:val="425"/>
  <w:characterSpacingControl w:val="doNotCompress"/>
  <w:footnotePr>
    <w:numStart w:val="3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911E8"/>
    <w:rsid w:val="002F24FD"/>
    <w:rsid w:val="00A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1E628-04B1-4994-B0EE-546ADEDF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Semmler Iwona</dc:creator>
  <dc:description/>
  <cp:lastModifiedBy>Sekretariat</cp:lastModifiedBy>
  <cp:revision>2</cp:revision>
  <dcterms:created xsi:type="dcterms:W3CDTF">2026-05-15T19:03:00Z</dcterms:created>
  <dcterms:modified xsi:type="dcterms:W3CDTF">2026-05-15T19:03:00Z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f410ce65-80c6-4bb3-a911-23ade7ed650d</vt:lpwstr>
  </property>
  <property fmtid="{D5CDD505-2E9C-101B-9397-08002B2CF9AE}" pid="3" name="bjClsUserRVM">
    <vt:lpwstr>[]</vt:lpwstr>
  </property>
  <property fmtid="{D5CDD505-2E9C-101B-9397-08002B2CF9AE}" pid="4" name="bjSaver">
    <vt:lpwstr>6kNh9r39BAo1giDb4TdX6IbN9hGPN76P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