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  <w:bookmarkStart w:id="0" w:name="_top"/>
      <w:bookmarkStart w:id="1" w:name="_GoBack"/>
      <w:bookmarkEnd w:id="0"/>
      <w:bookmarkEnd w:id="1"/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53412E">
      <w:pPr>
        <w:pStyle w:val="Tytu"/>
        <w:widowControl w:val="0"/>
        <w:jc w:val="center"/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1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D814B8">
      <w:pPr>
        <w:pStyle w:val="Tytu"/>
        <w:widowControl w:val="0"/>
        <w:jc w:val="center"/>
        <w:rPr>
          <w:b/>
          <w:sz w:val="32"/>
          <w:szCs w:val="32"/>
        </w:rPr>
      </w:pPr>
    </w:p>
    <w:p w:rsidR="00D814B8" w:rsidRDefault="0053412E">
      <w:pPr>
        <w:pStyle w:val="Tytu"/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Wskazówki dla użytkowników formularzy wniosków przygotowanych w MS Excel 2013 </w:t>
      </w:r>
    </w:p>
    <w:p w:rsidR="00D814B8" w:rsidRDefault="00D814B8">
      <w:pPr>
        <w:widowControl w:val="0"/>
        <w:spacing w:after="0"/>
      </w:pPr>
    </w:p>
    <w:p w:rsidR="00D814B8" w:rsidRDefault="0053412E">
      <w:pPr>
        <w:pStyle w:val="Tytu"/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dla poddziałań 19.2, 19.3 i 19.4</w:t>
      </w:r>
    </w:p>
    <w:p w:rsidR="00D814B8" w:rsidRDefault="00D814B8">
      <w:pPr>
        <w:widowControl w:val="0"/>
        <w:spacing w:after="0"/>
      </w:pPr>
    </w:p>
    <w:p w:rsidR="00D814B8" w:rsidRDefault="00D814B8">
      <w:pPr>
        <w:widowControl w:val="0"/>
        <w:spacing w:after="0"/>
      </w:pPr>
    </w:p>
    <w:p w:rsidR="00D814B8" w:rsidRDefault="00D814B8">
      <w:pPr>
        <w:suppressAutoHyphens w:val="0"/>
        <w:spacing w:after="0"/>
      </w:pPr>
      <w:bookmarkStart w:id="2" w:name="SpisTr"/>
    </w:p>
    <w:p w:rsidR="00D814B8" w:rsidRDefault="0053412E">
      <w:pPr>
        <w:pageBreakBefore/>
        <w:widowControl w:val="0"/>
        <w:spacing w:after="0"/>
      </w:pPr>
      <w:r>
        <w:rPr>
          <w:rStyle w:val="Wyrnieniedelikatne"/>
          <w:sz w:val="24"/>
          <w:szCs w:val="24"/>
        </w:rPr>
        <w:lastRenderedPageBreak/>
        <w:t>Spis treści</w:t>
      </w:r>
      <w:bookmarkEnd w:id="2"/>
    </w:p>
    <w:p w:rsidR="00D814B8" w:rsidRDefault="0053412E">
      <w:pPr>
        <w:pStyle w:val="Spistreci1"/>
      </w:pPr>
      <w:r>
        <w:rPr>
          <w:i/>
          <w:iCs/>
          <w:color w:val="404040"/>
        </w:rPr>
        <w:fldChar w:fldCharType="begin"/>
      </w:r>
      <w:r>
        <w:instrText xml:space="preserve"> TOC \o "1-4" \h </w:instrText>
      </w:r>
      <w:r>
        <w:rPr>
          <w:i/>
          <w:iCs/>
          <w:color w:val="404040"/>
        </w:rPr>
        <w:fldChar w:fldCharType="separate"/>
      </w:r>
      <w:hyperlink r:id="rId8" w:history="1">
        <w:r>
          <w:rPr>
            <w:rStyle w:val="Hipercze"/>
          </w:rPr>
          <w:t>Wstęp</w:t>
        </w:r>
        <w:r>
          <w:tab/>
          <w:t>5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9" w:history="1">
        <w:r>
          <w:rPr>
            <w:rStyle w:val="Hipercze"/>
          </w:rPr>
          <w:t>Jak najprościej zidentyfikować posiadaną wersję Excela?</w:t>
        </w:r>
        <w:r>
          <w:tab/>
          <w:t>5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0" w:history="1">
        <w:r>
          <w:rPr>
            <w:rStyle w:val="Hipercze"/>
          </w:rPr>
          <w:t>Jak zmienić format daty krótkiej z urzędowego unijnego na urzędowy polski?</w:t>
        </w:r>
        <w:r>
          <w:tab/>
          <w:t>6</w:t>
        </w:r>
      </w:hyperlink>
    </w:p>
    <w:p w:rsidR="00D814B8" w:rsidRDefault="0053412E">
      <w:pPr>
        <w:pStyle w:val="Spistreci1"/>
      </w:pPr>
      <w:hyperlink r:id="rId11" w:history="1">
        <w:r>
          <w:rPr>
            <w:rStyle w:val="Hipercze"/>
          </w:rPr>
          <w:t>Co można, a czego nie należy robić we wnioskach i z wnioskami?</w:t>
        </w:r>
        <w:r>
          <w:tab/>
          <w:t>7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12" w:history="1">
        <w:r>
          <w:rPr>
            <w:rStyle w:val="Hipercze"/>
          </w:rPr>
          <w:t>Formuły (algorytmy) i walidacje (reguły poprawności) spotykane we wnioskach</w:t>
        </w:r>
        <w:r>
          <w:tab/>
          <w:t>8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3" w:history="1">
        <w:r>
          <w:rPr>
            <w:rStyle w:val="Hipercze"/>
          </w:rPr>
          <w:t>Formuły</w:t>
        </w:r>
        <w:r>
          <w:tab/>
          <w:t>8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4" w:history="1">
        <w:r>
          <w:rPr>
            <w:rStyle w:val="Hipercze"/>
          </w:rPr>
          <w:t>Walidacje</w:t>
        </w:r>
        <w:r>
          <w:tab/>
          <w:t>10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15" w:history="1">
        <w:r>
          <w:rPr>
            <w:rStyle w:val="Hipercze"/>
          </w:rPr>
          <w:t>Uprawnienia i ograniczenia, wynikające z ochrony arkuszy</w:t>
        </w:r>
        <w:r>
          <w:tab/>
          <w:t>12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6" w:history="1">
        <w:r>
          <w:rPr>
            <w:rStyle w:val="Hipercze"/>
          </w:rPr>
          <w:t>Zaznaczanie zablokowanych komórek</w:t>
        </w:r>
        <w:r>
          <w:tab/>
          <w:t>12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7" w:history="1">
        <w:r>
          <w:rPr>
            <w:rStyle w:val="Hipercze"/>
          </w:rPr>
          <w:t>Zaznaczanie odblokowanych komórek</w:t>
        </w:r>
        <w:r>
          <w:tab/>
        </w:r>
        <w:r>
          <w:t>12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8" w:history="1">
        <w:r>
          <w:rPr>
            <w:rStyle w:val="Hipercze"/>
          </w:rPr>
          <w:t>Formatowanie komórek</w:t>
        </w:r>
        <w:r>
          <w:tab/>
          <w:t>13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9" w:history="1">
        <w:r>
          <w:rPr>
            <w:rStyle w:val="Hipercze"/>
          </w:rPr>
          <w:t>Formatowanie kolumn</w:t>
        </w:r>
        <w:r>
          <w:tab/>
          <w:t>14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0" w:history="1">
        <w:r>
          <w:rPr>
            <w:rStyle w:val="Hipercze"/>
          </w:rPr>
          <w:t>Formatowanie wierszy</w:t>
        </w:r>
        <w:r>
          <w:tab/>
          <w:t>14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1" w:history="1">
        <w:r>
          <w:rPr>
            <w:rStyle w:val="Hipercze"/>
          </w:rPr>
          <w:t>Wstawianie kolumn</w:t>
        </w:r>
        <w:r>
          <w:tab/>
          <w:t>14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2" w:history="1">
        <w:r>
          <w:rPr>
            <w:rStyle w:val="Hipercze"/>
          </w:rPr>
          <w:t>Wstawianie wierszy</w:t>
        </w:r>
        <w:r>
          <w:tab/>
          <w:t>14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3" w:history="1">
        <w:r>
          <w:rPr>
            <w:rStyle w:val="Hipercze"/>
          </w:rPr>
          <w:t>Dodawanie wierszy wraz z edytowaniem/poprawianiem formuł</w:t>
        </w:r>
        <w:r>
          <w:tab/>
          <w:t>15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4" w:history="1">
        <w:r>
          <w:rPr>
            <w:rStyle w:val="Hipercze"/>
          </w:rPr>
          <w:t>Wstawianie hiperłączy</w:t>
        </w:r>
        <w:r>
          <w:tab/>
          <w:t>17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5" w:history="1">
        <w:r>
          <w:rPr>
            <w:rStyle w:val="Hipercze"/>
          </w:rPr>
          <w:t>Usuwanie kolumn</w:t>
        </w:r>
        <w:r>
          <w:tab/>
          <w:t>17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6" w:history="1">
        <w:r>
          <w:rPr>
            <w:rStyle w:val="Hipercze"/>
          </w:rPr>
          <w:t>Usuwan</w:t>
        </w:r>
        <w:r>
          <w:rPr>
            <w:rStyle w:val="Hipercze"/>
          </w:rPr>
          <w:t>ie wierszy</w:t>
        </w:r>
        <w:r>
          <w:tab/>
          <w:t>18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27" w:history="1">
        <w:r>
          <w:rPr>
            <w:rStyle w:val="Hipercze"/>
          </w:rPr>
          <w:t>Ograniczenia, wynikające z ochrony skoroszytu</w:t>
        </w:r>
        <w:r>
          <w:tab/>
          <w:t>19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8" w:history="1">
        <w:r>
          <w:rPr>
            <w:rStyle w:val="Hipercze"/>
          </w:rPr>
          <w:t>Struktura</w:t>
        </w:r>
        <w:r>
          <w:tab/>
          <w:t>19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29" w:history="1">
        <w:r>
          <w:rPr>
            <w:rStyle w:val="Hipercze"/>
          </w:rPr>
          <w:t>„Dodatkowe arkusze dla podmiotów współwnioskujących…” lub inaczej „_ark_wspolwn”</w:t>
        </w:r>
        <w:r>
          <w:tab/>
          <w:t>19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30" w:history="1">
        <w:r>
          <w:rPr>
            <w:rStyle w:val="Hipercze"/>
          </w:rPr>
          <w:t>Podgląd wydruku oraz drukowanie formularzy wniosków</w:t>
        </w:r>
        <w:r>
          <w:tab/>
          <w:t>21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31" w:history="1">
        <w:r>
          <w:rPr>
            <w:rStyle w:val="Hipercze"/>
          </w:rPr>
          <w:t>Podgląd podziału stron</w:t>
        </w:r>
        <w:r>
          <w:tab/>
          <w:t>21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32" w:history="1">
        <w:r>
          <w:rPr>
            <w:rStyle w:val="Hipercze"/>
          </w:rPr>
          <w:t>Podgląd wydruku</w:t>
        </w:r>
        <w:r>
          <w:tab/>
          <w:t>22</w:t>
        </w:r>
      </w:hyperlink>
    </w:p>
    <w:p w:rsidR="00D814B8" w:rsidRDefault="0053412E">
      <w:pPr>
        <w:pStyle w:val="Spistreci1"/>
      </w:pPr>
      <w:hyperlink r:id="rId33" w:history="1">
        <w:r>
          <w:rPr>
            <w:rStyle w:val="Hipercze"/>
          </w:rPr>
          <w:t>Odniesienia szczegółowe do poszczeg</w:t>
        </w:r>
        <w:r>
          <w:rPr>
            <w:rStyle w:val="Hipercze"/>
          </w:rPr>
          <w:t>ólnych formularzy wniosków</w:t>
        </w:r>
        <w:r>
          <w:tab/>
          <w:t>24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34" w:history="1">
        <w:r>
          <w:rPr>
            <w:rStyle w:val="Hipercze"/>
          </w:rPr>
          <w:t>Poddziałanie 19.2 – operacje inne/własne</w:t>
        </w:r>
        <w:r>
          <w:tab/>
          <w:t>24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35" w:history="1">
        <w:r>
          <w:rPr>
            <w:rStyle w:val="Hipercze"/>
          </w:rPr>
          <w:t>Wniosek o przyznanie pomocy (W-1_19.2)</w:t>
        </w:r>
        <w:r>
          <w:tab/>
          <w:t>24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36" w:history="1">
        <w:r>
          <w:rPr>
            <w:rStyle w:val="Hipercze"/>
          </w:rPr>
          <w:t>Wniosek o płatność (W-2_19.2) – wersja 4.z</w:t>
        </w:r>
        <w:r>
          <w:tab/>
          <w:t>24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37" w:history="1">
        <w:r>
          <w:rPr>
            <w:rStyle w:val="Hipercze"/>
          </w:rPr>
          <w:t>Sekcja tytułowa (arkusz I_IV)</w:t>
        </w:r>
        <w:r>
          <w:tab/>
          <w:t>24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38" w:history="1">
        <w:r>
          <w:rPr>
            <w:rStyle w:val="Hipercze"/>
          </w:rPr>
          <w:t>I. CZĘŚĆ OGÓLNA (arkusz I_IV)</w:t>
        </w:r>
        <w:r>
          <w:tab/>
          <w:t>24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39" w:history="1">
        <w:r>
          <w:rPr>
            <w:rStyle w:val="Hipercze"/>
          </w:rPr>
          <w:t>II. DANE IDENTYFIKACYJNE BENEFICJENTA (arkusz I_IV)</w:t>
        </w:r>
        <w:r>
          <w:tab/>
          <w:t>25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0" w:history="1">
        <w:r>
          <w:rPr>
            <w:rStyle w:val="Hipercze"/>
          </w:rPr>
          <w:t xml:space="preserve">III. DANE Z </w:t>
        </w:r>
        <w:r>
          <w:rPr>
            <w:rStyle w:val="Hipercze"/>
          </w:rPr>
          <w:t>UMOWY O PRZYZNANIU POMOCY (arkusz I_IV)</w:t>
        </w:r>
        <w:r>
          <w:tab/>
          <w:t>26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1" w:history="1">
        <w:r>
          <w:rPr>
            <w:rStyle w:val="Hipercze"/>
          </w:rPr>
          <w:t>IV. DANE DOTYCZĄCE WNIOSKU O PŁATNOŚĆ (arkusz I_IV)</w:t>
        </w:r>
        <w:r>
          <w:tab/>
          <w:t>26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2" w:history="1">
        <w:r>
          <w:rPr>
            <w:rStyle w:val="Hipercze"/>
          </w:rPr>
          <w:t>IV.A. DANE WSPÓLNIE WNIOSKUJĄCYCH O PŁATNOŚĆ W (…) (arkusz I_IV)</w:t>
        </w:r>
        <w:r>
          <w:tab/>
          <w:t>29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3" w:history="1">
        <w:r>
          <w:rPr>
            <w:rStyle w:val="Hipercze"/>
          </w:rPr>
          <w:t>V. WYKAZ FAKTUR LUB DOKUMENTÓW O RÓWNOWAŻNEJ WARTOŚCI (…) (arkusz V)</w:t>
        </w:r>
        <w:r>
          <w:tab/>
          <w:t>32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4" w:history="1">
        <w:r>
          <w:rPr>
            <w:rStyle w:val="Hipercze"/>
          </w:rPr>
          <w:t>VI. ZESTAWIENIE RZECZOWO-FINANSOWE OPERACJI (arkusz VI_ZRF)</w:t>
        </w:r>
        <w:r>
          <w:tab/>
          <w:t>32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5" w:history="1">
        <w:r>
          <w:rPr>
            <w:rStyle w:val="Hipercze"/>
          </w:rPr>
          <w:t>V. WYKAZ FAKTUR LUB DOKUMENTÓW (…) po wypełnieniu ZRF (a</w:t>
        </w:r>
        <w:r>
          <w:rPr>
            <w:rStyle w:val="Hipercze"/>
          </w:rPr>
          <w:t>rkusz V_WF)</w:t>
        </w:r>
        <w:r>
          <w:tab/>
          <w:t>34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6" w:history="1">
        <w:r>
          <w:rPr>
            <w:rStyle w:val="Hipercze"/>
          </w:rPr>
          <w:t>VII. WARTOŚĆ WSKAŹNIKÓW, KTÓRE ZOSTAŁY OSIĄGNIĘTE (…) (arkusz VII_Wskazn_VIII_Zobow)</w:t>
        </w:r>
        <w:r>
          <w:tab/>
          <w:t>36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7" w:history="1">
        <w:r>
          <w:rPr>
            <w:rStyle w:val="Hipercze"/>
          </w:rPr>
          <w:t>VIII. ZOBOWIĄZANIA DOTYCZĄCE UTWORZENIA NOWEGO (arkusz VII_Wskazn_VIII_Zobow)</w:t>
        </w:r>
        <w:r>
          <w:tab/>
          <w:t>36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8" w:history="1">
        <w:r>
          <w:rPr>
            <w:rStyle w:val="Hipercze"/>
          </w:rPr>
          <w:t>IX. INFORMACJA O ZAŁĄCZNIKACH (arkusz IX_Info_Zalacz)</w:t>
        </w:r>
        <w:r>
          <w:tab/>
          <w:t>37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49" w:history="1">
        <w:r>
          <w:rPr>
            <w:rStyle w:val="Hipercze"/>
          </w:rPr>
          <w:t>X. OŚWIADCZENIA BENEFICJENTA (arkusz X_XI_Osw_Beneficj)</w:t>
        </w:r>
        <w:r>
          <w:tab/>
          <w:t>38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0" w:history="1">
        <w:r>
          <w:rPr>
            <w:rStyle w:val="Hipercze"/>
          </w:rPr>
          <w:t>XI. OŚWIADCZENIE O WYPEŁNIENIU OBOWIĄZKU INFORMACYJNEGO (</w:t>
        </w:r>
        <w:r>
          <w:rPr>
            <w:rStyle w:val="Hipercze"/>
          </w:rPr>
          <w:t>…) (arkusz X_XI_Osw_Beneficj)</w:t>
        </w:r>
        <w:r>
          <w:tab/>
          <w:t>38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1" w:history="1">
        <w:r>
          <w:rPr>
            <w:rStyle w:val="Hipercze"/>
          </w:rPr>
          <w:t>Załącznik nr IX. A.16 Oświadczenie dotyczące wyodrębnionych kont (…) (arkusz Zal_IX_A16)</w:t>
        </w:r>
        <w:r>
          <w:tab/>
          <w:t>38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2" w:history="1">
        <w:r>
          <w:rPr>
            <w:rStyle w:val="Hipercze"/>
          </w:rPr>
          <w:t xml:space="preserve">Załącznik nr IX. A.17 KARTA ROZLICZENIA ZADANIA W ZAKRESIE (…) </w:t>
        </w:r>
        <w:r>
          <w:rPr>
            <w:rStyle w:val="Hipercze"/>
          </w:rPr>
          <w:t>(arkusz Zal_IX_A17)</w:t>
        </w:r>
        <w:r>
          <w:tab/>
          <w:t>38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3" w:history="1">
        <w:r>
          <w:rPr>
            <w:rStyle w:val="Hipercze"/>
          </w:rPr>
          <w:t>Załącznik nr IX. A.18 LISTA OBECNOŚCI NA (…) (arkusz Zal_IX_A18)</w:t>
        </w:r>
        <w:r>
          <w:tab/>
          <w:t>39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4" w:history="1">
        <w:r>
          <w:rPr>
            <w:rStyle w:val="Hipercze"/>
          </w:rPr>
          <w:t>Załącznik nr IX. A.19 KARTA WKŁADU RZECZOWEGO (…) (arkusz Zal_IX_A19)</w:t>
        </w:r>
        <w:r>
          <w:tab/>
          <w:t>39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5" w:history="1">
        <w:r>
          <w:rPr>
            <w:rStyle w:val="Hipercze"/>
          </w:rPr>
          <w:t>Załącznik nr IX.B.1 Informacje dotyczące przetwarzania (…) (arkusz Zal_IX_B1_RODO)</w:t>
        </w:r>
        <w:r>
          <w:tab/>
          <w:t>39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56" w:history="1">
        <w:r>
          <w:rPr>
            <w:rStyle w:val="Hipercze"/>
          </w:rPr>
          <w:t>Poddziałanie 19.2 – premie</w:t>
        </w:r>
        <w:r>
          <w:tab/>
          <w:t>40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57" w:history="1">
        <w:r>
          <w:rPr>
            <w:rStyle w:val="Hipercze"/>
          </w:rPr>
          <w:t>Wniosek o przyznanie pomocy (W-1_19.2_P)</w:t>
        </w:r>
        <w:r>
          <w:tab/>
          <w:t>40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58" w:history="1">
        <w:r>
          <w:rPr>
            <w:rStyle w:val="Hipercze"/>
          </w:rPr>
          <w:t>Wn</w:t>
        </w:r>
        <w:r>
          <w:rPr>
            <w:rStyle w:val="Hipercze"/>
          </w:rPr>
          <w:t>iosek o płatność (W-2_19.2_P)</w:t>
        </w:r>
        <w:r>
          <w:tab/>
          <w:t>40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59" w:history="1">
        <w:r>
          <w:rPr>
            <w:rStyle w:val="Hipercze"/>
          </w:rPr>
          <w:t>Sekcja tytułowa (arkusz I_IV)</w:t>
        </w:r>
        <w:r>
          <w:tab/>
          <w:t>40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0" w:history="1">
        <w:r>
          <w:rPr>
            <w:rStyle w:val="Hipercze"/>
          </w:rPr>
          <w:t>I. CZĘŚĆ OGÓLNA (arkusz I_IV)</w:t>
        </w:r>
        <w:r>
          <w:tab/>
          <w:t>40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1" w:history="1">
        <w:r>
          <w:rPr>
            <w:rStyle w:val="Hipercze"/>
          </w:rPr>
          <w:t>II. DANE IDENTYFIKACYJNE BENEFICJENTA (arkusz I_IV)</w:t>
        </w:r>
        <w:r>
          <w:tab/>
          <w:t>40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2" w:history="1">
        <w:r>
          <w:rPr>
            <w:rStyle w:val="Hipercze"/>
          </w:rPr>
          <w:t>III. DANE Z UMOWY O PRZYZNANIU POMOCY (arkusz I_IV)</w:t>
        </w:r>
        <w:r>
          <w:tab/>
          <w:t>41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3" w:history="1">
        <w:r>
          <w:rPr>
            <w:rStyle w:val="Hipercze"/>
          </w:rPr>
          <w:t>IV. DANE DOTYCZĄCE WNIOSKU O PŁATNOŚĆ (arkusz I_IV)</w:t>
        </w:r>
        <w:r>
          <w:tab/>
          <w:t>41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4" w:history="1">
        <w:r>
          <w:rPr>
            <w:rStyle w:val="Hipercze"/>
          </w:rPr>
          <w:t>V. RZECZOWE WYKONANIE BIZNESPLANU (arkusz V_ZRZ)</w:t>
        </w:r>
        <w:r>
          <w:tab/>
          <w:t>42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5" w:history="1">
        <w:r>
          <w:rPr>
            <w:rStyle w:val="Hipercze"/>
          </w:rPr>
          <w:t>VI. WSKAŹNIKI OSIĄGNIĘCIA CELU (ÓW) OPERACJI (arkusz VI_Wskazniki)</w:t>
        </w:r>
        <w:r>
          <w:tab/>
          <w:t>42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6" w:history="1">
        <w:r>
          <w:rPr>
            <w:rStyle w:val="Hipercze"/>
          </w:rPr>
          <w:t>VII. INFORMACJA O ZAŁĄCZNIKACH (arkusz VII_Zal)</w:t>
        </w:r>
        <w:r>
          <w:tab/>
          <w:t>42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7" w:history="1">
        <w:r>
          <w:rPr>
            <w:rStyle w:val="Hipercze"/>
          </w:rPr>
          <w:t xml:space="preserve">VIII. OŚWIADCZENIA BENEFICJENTA (arkusz </w:t>
        </w:r>
        <w:r>
          <w:rPr>
            <w:rStyle w:val="Hipercze"/>
          </w:rPr>
          <w:t>VIII_IX_Osw)</w:t>
        </w:r>
        <w:r>
          <w:tab/>
          <w:t>43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8" w:history="1">
        <w:r>
          <w:rPr>
            <w:rStyle w:val="Hipercze"/>
          </w:rPr>
          <w:t>IX. OŚWIADCZENIE O WYPEŁNIENIU OBOWIĄZKU INFORMACYJNEGO (…) (arkusz VIII_IX_Osw)</w:t>
        </w:r>
        <w:r>
          <w:tab/>
          <w:t>43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69" w:history="1">
        <w:r>
          <w:rPr>
            <w:rStyle w:val="Hipercze"/>
          </w:rPr>
          <w:t>Załącznik nr VII. B.4 Oświadczenie dotyczące wyodrębnionych kont (…) (arkusz Zal_VII_B4)</w:t>
        </w:r>
        <w:r>
          <w:tab/>
          <w:t>44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70" w:history="1">
        <w:r>
          <w:rPr>
            <w:rStyle w:val="Hipercze"/>
          </w:rPr>
          <w:t>Załącznik nr VII.C.1 Informacje dotyczące przetwarzania (…) (arkusz Zal_VII_C1_RODO)</w:t>
        </w:r>
        <w:r>
          <w:tab/>
          <w:t>44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71" w:history="1">
        <w:r>
          <w:rPr>
            <w:rStyle w:val="Hipercze"/>
          </w:rPr>
          <w:t>Poddziałanie 19.2 – granty</w:t>
        </w:r>
        <w:r>
          <w:tab/>
          <w:t>45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72" w:history="1">
        <w:r>
          <w:rPr>
            <w:rStyle w:val="Hipercze"/>
          </w:rPr>
          <w:t>Wniosek o przyznanie pomocy (W-1_19.2_G)</w:t>
        </w:r>
        <w:r>
          <w:tab/>
          <w:t>45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73" w:history="1">
        <w:r>
          <w:rPr>
            <w:rStyle w:val="Hipercze"/>
          </w:rPr>
          <w:t>Wniosek o płatność (W-2_19.2_G)</w:t>
        </w:r>
        <w:r>
          <w:tab/>
          <w:t>45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74" w:history="1">
        <w:r>
          <w:rPr>
            <w:rStyle w:val="Hipercze"/>
          </w:rPr>
          <w:t>Poddziałanie 19.3 – projekty współpracy</w:t>
        </w:r>
        <w:r>
          <w:tab/>
          <w:t>46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75" w:history="1">
        <w:r>
          <w:rPr>
            <w:rStyle w:val="Hipercze"/>
          </w:rPr>
          <w:t>Wniosek o przyznanie pomocy (W-1_19.3) – wersja 2.z</w:t>
        </w:r>
        <w:r>
          <w:tab/>
          <w:t>46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76" w:history="1">
        <w:r>
          <w:rPr>
            <w:rStyle w:val="Hipercze"/>
          </w:rPr>
          <w:t>Se</w:t>
        </w:r>
        <w:r>
          <w:rPr>
            <w:rStyle w:val="Hipercze"/>
          </w:rPr>
          <w:t>kcja tytułowa (arkusz I_III)</w:t>
        </w:r>
        <w:r>
          <w:tab/>
          <w:t>46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77" w:history="1">
        <w:r>
          <w:rPr>
            <w:rStyle w:val="Hipercze"/>
          </w:rPr>
          <w:t>I. CZĘŚĆ OGÓLNA (arkusz I_III)</w:t>
        </w:r>
        <w:r>
          <w:tab/>
          <w:t>46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78" w:history="1">
        <w:r>
          <w:rPr>
            <w:rStyle w:val="Hipercze"/>
          </w:rPr>
          <w:t>II.A. IDENTYFIKACJA LGD UMOCOWANEJ DO DZIAŁANIA W IMIENIU (…) (arkusz I_III)</w:t>
        </w:r>
        <w:r>
          <w:tab/>
          <w:t>46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79" w:history="1">
        <w:r>
          <w:rPr>
            <w:rStyle w:val="Hipercze"/>
          </w:rPr>
          <w:t>II.B. IDENTYFIKAC</w:t>
        </w:r>
        <w:r>
          <w:rPr>
            <w:rStyle w:val="Hipercze"/>
          </w:rPr>
          <w:t>JA LGD UCZESTNICZĄCYCH W REALIZACJI OPERACJI (arkusz I_III)</w:t>
        </w:r>
        <w:r>
          <w:tab/>
          <w:t>47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0" w:history="1">
        <w:r>
          <w:rPr>
            <w:rStyle w:val="Hipercze"/>
          </w:rPr>
          <w:t>II.C. DANE DOTYCZĄCE POZOSTAŁYCH PARTNERÓW PROJEKTU (arkusz I_III)</w:t>
        </w:r>
        <w:r>
          <w:tab/>
          <w:t>47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1" w:history="1">
        <w:r>
          <w:rPr>
            <w:rStyle w:val="Hipercze"/>
          </w:rPr>
          <w:t>III. DANE DOTYCZĄCE PROJEKTU WSPÓŁPRACY (arkusz I_III)</w:t>
        </w:r>
        <w:r>
          <w:tab/>
          <w:t>48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2" w:history="1">
        <w:r>
          <w:rPr>
            <w:rStyle w:val="Hipercze"/>
          </w:rPr>
          <w:t>Arkusz III_8_Wskazn</w:t>
        </w:r>
        <w:r>
          <w:tab/>
          <w:t>49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3" w:history="1">
        <w:r>
          <w:rPr>
            <w:rStyle w:val="Hipercze"/>
          </w:rPr>
          <w:t>Arkusz III_</w:t>
        </w:r>
        <w:bookmarkStart w:id="3" w:name="_Hlt14429269"/>
        <w:bookmarkStart w:id="4" w:name="_Hlt14429270"/>
        <w:r>
          <w:rPr>
            <w:rStyle w:val="Hipercze"/>
          </w:rPr>
          <w:t>I</w:t>
        </w:r>
        <w:bookmarkEnd w:id="3"/>
        <w:bookmarkEnd w:id="4"/>
        <w:r>
          <w:rPr>
            <w:rStyle w:val="Hipercze"/>
          </w:rPr>
          <w:t>V</w:t>
        </w:r>
        <w:r>
          <w:tab/>
          <w:t>49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4" w:history="1">
        <w:r>
          <w:rPr>
            <w:rStyle w:val="Hipercze"/>
          </w:rPr>
          <w:t>IV. PLAN FINANSOWY OPERACJI (arkusz III_IV)</w:t>
        </w:r>
        <w:r>
          <w:tab/>
          <w:t>51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5" w:history="1">
        <w:r>
          <w:rPr>
            <w:rStyle w:val="Hipercze"/>
          </w:rPr>
          <w:t xml:space="preserve">V. ZESTAWIENIE RZECZOWO-FINANSOWE OPERACJI </w:t>
        </w:r>
        <w:r>
          <w:rPr>
            <w:rStyle w:val="Hipercze"/>
          </w:rPr>
          <w:t>(arkusz V_ZRF)</w:t>
        </w:r>
        <w:r>
          <w:tab/>
          <w:t>55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6" w:history="1">
        <w:r>
          <w:rPr>
            <w:rStyle w:val="Hipercze"/>
          </w:rPr>
          <w:t>VI. OPIS ZADAŃ WYMIENIONYCH W ZESTAWIENIU (…) (arkusz VI_Opis_rzeczowy)</w:t>
        </w:r>
        <w:r>
          <w:tab/>
          <w:t>56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7" w:history="1">
        <w:r>
          <w:rPr>
            <w:rStyle w:val="Hipercze"/>
          </w:rPr>
          <w:t>VII. INFORMACJA O ZAŁĄCZNIKACH (arkusz VII_Info_Zalacz)</w:t>
        </w:r>
        <w:r>
          <w:tab/>
          <w:t>58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8" w:history="1">
        <w:r>
          <w:rPr>
            <w:rStyle w:val="Hipercze"/>
          </w:rPr>
          <w:t>VIII. OŚWIA</w:t>
        </w:r>
        <w:r>
          <w:rPr>
            <w:rStyle w:val="Hipercze"/>
          </w:rPr>
          <w:t>DCZENIA PODMIOTU UBIEGAJĄCEGO SIĘ (…) (arkusz VIII_Osw_podmiotu)</w:t>
        </w:r>
        <w:r>
          <w:tab/>
          <w:t>59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89" w:history="1">
        <w:r>
          <w:rPr>
            <w:rStyle w:val="Hipercze"/>
          </w:rPr>
          <w:t>Załącznik nr 5. Oświadczenie partnera projektu współpracy (arkusz Zal_5_Osw_partn_proj)</w:t>
        </w:r>
        <w:r>
          <w:tab/>
          <w:t>59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0" w:history="1">
        <w:r>
          <w:rPr>
            <w:rStyle w:val="Hipercze"/>
          </w:rPr>
          <w:t>Załącznik nr 5.a Informacje dotyczą</w:t>
        </w:r>
        <w:r>
          <w:rPr>
            <w:rStyle w:val="Hipercze"/>
          </w:rPr>
          <w:t>ce przetwarzania (…) (Zal_5a_Inf_RODO)</w:t>
        </w:r>
        <w:r>
          <w:tab/>
          <w:t>59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1" w:history="1">
        <w:r>
          <w:rPr>
            <w:rStyle w:val="Hipercze"/>
          </w:rPr>
          <w:t>Załącznik nr 8. Oświadczenie właściciela(i) lub wpółwłaściciela (…) (arkusz Zal_8_Osw_wlasc_nier)</w:t>
        </w:r>
        <w:r>
          <w:tab/>
          <w:t>59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2" w:history="1">
        <w:r>
          <w:rPr>
            <w:rStyle w:val="Hipercze"/>
          </w:rPr>
          <w:t>Załącznik nr 8.a Informacje dotyczące przetwarzania</w:t>
        </w:r>
        <w:r>
          <w:rPr>
            <w:rStyle w:val="Hipercze"/>
          </w:rPr>
          <w:t xml:space="preserve"> (…) (Zal_8a_Inf_RODO_2)</w:t>
        </w:r>
        <w:r>
          <w:tab/>
          <w:t>60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3" w:history="1">
        <w:r>
          <w:rPr>
            <w:rStyle w:val="Hipercze"/>
          </w:rPr>
          <w:t>Załącznik nr 9. Oświadczenie LGD o kwalifikowalności VAT (arkusz Zal_9_Osw_VAT)</w:t>
        </w:r>
        <w:r>
          <w:tab/>
          <w:t>60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4" w:history="1">
        <w:r>
          <w:rPr>
            <w:rStyle w:val="Hipercze"/>
          </w:rPr>
          <w:t>Załącznik nr 19. Informacje dotyczące przetwarzania (…) (arkusz Zal_19_Osw_peln_oso</w:t>
        </w:r>
        <w:r>
          <w:rPr>
            <w:rStyle w:val="Hipercze"/>
          </w:rPr>
          <w:t>ba_upow)</w:t>
        </w:r>
        <w:r>
          <w:tab/>
          <w:t>60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5" w:history="1">
        <w:r>
          <w:rPr>
            <w:rStyle w:val="Hipercze"/>
          </w:rPr>
          <w:t>Zgoda na przetwarzanie danych osobowych (arkusz Zal_19_Osw_peln_osoba_upow)</w:t>
        </w:r>
        <w:r>
          <w:tab/>
          <w:t>60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96" w:history="1">
        <w:r>
          <w:rPr>
            <w:rStyle w:val="Hipercze"/>
          </w:rPr>
          <w:t>Wniosek o płatność (W-2_19.3) – wersja 2.z</w:t>
        </w:r>
        <w:r>
          <w:tab/>
          <w:t>62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7" w:history="1">
        <w:r>
          <w:rPr>
            <w:rStyle w:val="Hipercze"/>
          </w:rPr>
          <w:t>Sekcja tytułowa (arkusz I_</w:t>
        </w:r>
        <w:r>
          <w:rPr>
            <w:rStyle w:val="Hipercze"/>
          </w:rPr>
          <w:t>V)</w:t>
        </w:r>
        <w:r>
          <w:tab/>
          <w:t>62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8" w:history="1">
        <w:r>
          <w:rPr>
            <w:rStyle w:val="Hipercze"/>
          </w:rPr>
          <w:t>I. CZĘŚĆ OGÓLNA (arkusz I_V)</w:t>
        </w:r>
        <w:r>
          <w:tab/>
          <w:t>62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99" w:history="1">
        <w:r>
          <w:rPr>
            <w:rStyle w:val="Hipercze"/>
          </w:rPr>
          <w:t>II. DANE IDENTYFIKACYJNE LGD UMOCOWANEJ DO DZIAŁANIA W IMIENIU (…) (arkusz I_V)</w:t>
        </w:r>
        <w:r>
          <w:tab/>
          <w:t>62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0" w:history="1">
        <w:r>
          <w:rPr>
            <w:rStyle w:val="Hipercze"/>
          </w:rPr>
          <w:t xml:space="preserve">III. DANE Z UMOWY O PRZYZNANIU POMOCY </w:t>
        </w:r>
        <w:r>
          <w:rPr>
            <w:rStyle w:val="Hipercze"/>
          </w:rPr>
          <w:t>(arkusz I_V)</w:t>
        </w:r>
        <w:r>
          <w:tab/>
          <w:t>63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1" w:history="1">
        <w:r>
          <w:rPr>
            <w:rStyle w:val="Hipercze"/>
          </w:rPr>
          <w:t>IV. DANE DOTYCZĄCE WNIOSKU O PŁATNOŚĆ DLA PROJEKTU WSPÓŁPRACY (arkusz I_V)</w:t>
        </w:r>
        <w:r>
          <w:tab/>
          <w:t>63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2" w:history="1">
        <w:r>
          <w:rPr>
            <w:rStyle w:val="Hipercze"/>
          </w:rPr>
          <w:t>IV.A. DANE PARTNERÓW (LGD) UBIEGAJĄCYCH SIĘ O PŁATNOŚĆ W (…) (arkusz I_V)</w:t>
        </w:r>
        <w:r>
          <w:tab/>
          <w:t>65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3" w:history="1">
        <w:r>
          <w:rPr>
            <w:rStyle w:val="Hipercze"/>
          </w:rPr>
          <w:t>V. SUMA Z WYKAZU FAKTUR LUB DOKUMENTÓW O RÓWNOWAŻNEJ WARTOŚCI (…) (arkusz I_V)</w:t>
        </w:r>
        <w:r>
          <w:tab/>
          <w:t>66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4" w:history="1">
        <w:r>
          <w:rPr>
            <w:rStyle w:val="Hipercze"/>
          </w:rPr>
          <w:t>VI. ZESTAWIENIE RZECZOWO-FINANSOWE OPERACJI (arkusz VI_ZRF)</w:t>
        </w:r>
        <w:r>
          <w:tab/>
          <w:t>66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5" w:history="1">
        <w:r>
          <w:rPr>
            <w:rStyle w:val="Hipercze"/>
          </w:rPr>
          <w:t>V.A. WYKAZ FAKTUR LUB DOKUMENTÓW O RÓWNOW</w:t>
        </w:r>
        <w:r>
          <w:rPr>
            <w:rStyle w:val="Hipercze"/>
          </w:rPr>
          <w:t>AŻNEJ WARTOŚCI (…) (arkusz VA_WF)</w:t>
        </w:r>
        <w:r>
          <w:tab/>
          <w:t>68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6" w:history="1">
        <w:r>
          <w:rPr>
            <w:rStyle w:val="Hipercze"/>
          </w:rPr>
          <w:t>V. SUMA Z WYKAZU FAKTUR (…) po prawidłowym wypełnieniu ZRF i WF</w:t>
        </w:r>
        <w:r>
          <w:tab/>
          <w:t>70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7" w:history="1">
        <w:r>
          <w:rPr>
            <w:rStyle w:val="Hipercze"/>
          </w:rPr>
          <w:t>VII. WARTOŚĆ WSKAŹNIKÓW, KTÓRE ZOSTAŁY OSIĄGNIĘTE W WYNIKU (…) (arkusz VII_Wskazn)</w:t>
        </w:r>
        <w:r>
          <w:tab/>
          <w:t>71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8" w:history="1">
        <w:r>
          <w:rPr>
            <w:rStyle w:val="Hipercze"/>
          </w:rPr>
          <w:t>VIII. INFORMACJA O ZAŁĄCZNIKACH (arkusz VIII_Info_Zalacz)</w:t>
        </w:r>
        <w:r>
          <w:tab/>
          <w:t>71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09" w:history="1">
        <w:r>
          <w:rPr>
            <w:rStyle w:val="Hipercze"/>
          </w:rPr>
          <w:t>IX. OŚWIADCZENIA BENEFICJENTA (arkusz IX_Osw_Beneficj)</w:t>
        </w:r>
        <w:r>
          <w:tab/>
          <w:t>73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10" w:history="1">
        <w:r>
          <w:rPr>
            <w:rStyle w:val="Hipercze"/>
          </w:rPr>
          <w:t>Załącznik nr VIII. A.15 Oświadczenie LGD realizu</w:t>
        </w:r>
        <w:r>
          <w:rPr>
            <w:rStyle w:val="Hipercze"/>
          </w:rPr>
          <w:t>jących zadania w (…) (arkusz Zal_VIII_A15)</w:t>
        </w:r>
        <w:r>
          <w:tab/>
          <w:t>73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11" w:history="1">
        <w:r>
          <w:rPr>
            <w:rStyle w:val="Hipercze"/>
          </w:rPr>
          <w:t>Załącznik nr VIII. A.16 KARTA ROZLICZENIA ZADANIA W ZAKRESIE (…) (arkusz Zal_VIII_A16)</w:t>
        </w:r>
        <w:r>
          <w:tab/>
          <w:t>73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12" w:history="1">
        <w:r>
          <w:rPr>
            <w:rStyle w:val="Hipercze"/>
          </w:rPr>
          <w:t>Załącznik nr VIII. A.17 LISTA OBECNOŚCI NA (…) (arkusz Zal</w:t>
        </w:r>
        <w:r>
          <w:rPr>
            <w:rStyle w:val="Hipercze"/>
          </w:rPr>
          <w:t>_VIII_A17)</w:t>
        </w:r>
        <w:r>
          <w:tab/>
          <w:t>73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13" w:history="1">
        <w:r>
          <w:rPr>
            <w:rStyle w:val="Hipercze"/>
          </w:rPr>
          <w:t>Załącznik nr VIII. A.20 OPIS PROJEKTU WSPÓŁPRACY (arkusz Zal_VIII_A20_Opis_Projektu)</w:t>
        </w:r>
        <w:r>
          <w:tab/>
          <w:t>73</w:t>
        </w:r>
      </w:hyperlink>
    </w:p>
    <w:p w:rsidR="00D814B8" w:rsidRDefault="0053412E">
      <w:pPr>
        <w:pStyle w:val="Spistreci4"/>
        <w:tabs>
          <w:tab w:val="right" w:leader="dot" w:pos="10456"/>
        </w:tabs>
      </w:pPr>
      <w:hyperlink r:id="rId114" w:history="1">
        <w:r>
          <w:rPr>
            <w:rStyle w:val="Hipercze"/>
          </w:rPr>
          <w:t>Załącznik nr VIII.B.1 Informacje dotyczące przetwarzania (…) (arkusz Zal_VIII_B1_RODO)</w:t>
        </w:r>
        <w:r>
          <w:tab/>
          <w:t>73</w:t>
        </w:r>
      </w:hyperlink>
    </w:p>
    <w:p w:rsidR="00D814B8" w:rsidRDefault="0053412E">
      <w:pPr>
        <w:pStyle w:val="Spistreci2"/>
        <w:tabs>
          <w:tab w:val="right" w:leader="dot" w:pos="10456"/>
        </w:tabs>
      </w:pPr>
      <w:hyperlink r:id="rId115" w:history="1">
        <w:r>
          <w:rPr>
            <w:rStyle w:val="Hipercze"/>
          </w:rPr>
          <w:t>Poddziałanie 19.4 – koszty bieżące i aktywizacja</w:t>
        </w:r>
        <w:r>
          <w:tab/>
          <w:t>74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16" w:history="1">
        <w:r>
          <w:rPr>
            <w:rStyle w:val="Hipercze"/>
          </w:rPr>
          <w:t>Wniosek o przyznanie pomocy (W-1_19.4)</w:t>
        </w:r>
        <w:r>
          <w:tab/>
          <w:t>74</w:t>
        </w:r>
      </w:hyperlink>
    </w:p>
    <w:p w:rsidR="00D814B8" w:rsidRDefault="0053412E">
      <w:pPr>
        <w:pStyle w:val="Spistreci3"/>
        <w:tabs>
          <w:tab w:val="right" w:leader="dot" w:pos="10456"/>
        </w:tabs>
      </w:pPr>
      <w:hyperlink r:id="rId117" w:history="1">
        <w:r>
          <w:rPr>
            <w:rStyle w:val="Hipercze"/>
          </w:rPr>
          <w:t>Wniosek o płatność (W-2_19.4</w:t>
        </w:r>
        <w:r>
          <w:tab/>
          <w:t>74</w:t>
        </w:r>
      </w:hyperlink>
    </w:p>
    <w:p w:rsidR="00D814B8" w:rsidRDefault="0053412E">
      <w:pPr>
        <w:widowControl w:val="0"/>
        <w:spacing w:after="0"/>
      </w:pPr>
      <w:r>
        <w:fldChar w:fldCharType="end"/>
      </w:r>
    </w:p>
    <w:p w:rsidR="00D814B8" w:rsidRDefault="00D814B8">
      <w:pPr>
        <w:suppressAutoHyphens w:val="0"/>
        <w:spacing w:after="0"/>
      </w:pPr>
      <w:bookmarkStart w:id="5" w:name="_Wstęp"/>
      <w:bookmarkStart w:id="6" w:name="_Toc499910717"/>
      <w:bookmarkStart w:id="7" w:name="_Toc500141045"/>
      <w:bookmarkStart w:id="8" w:name="_Toc500154722"/>
      <w:bookmarkStart w:id="9" w:name="_Toc500247252"/>
      <w:bookmarkStart w:id="10" w:name="_Toc500339097"/>
      <w:bookmarkStart w:id="11" w:name="_Toc500423434"/>
      <w:bookmarkStart w:id="12" w:name="_Toc500505026"/>
      <w:bookmarkStart w:id="13" w:name="_Toc500768207"/>
      <w:bookmarkStart w:id="14" w:name="_Toc500853271"/>
      <w:bookmarkStart w:id="15" w:name="_Toc8914886"/>
      <w:bookmarkStart w:id="16" w:name="_Toc9422404"/>
      <w:bookmarkStart w:id="17" w:name="_Toc9505016"/>
      <w:bookmarkStart w:id="18" w:name="_Toc9594598"/>
      <w:bookmarkStart w:id="19" w:name="_Toc9866912"/>
      <w:bookmarkStart w:id="20" w:name="_Toc9924616"/>
      <w:bookmarkStart w:id="21" w:name="_Toc10014999"/>
      <w:bookmarkStart w:id="22" w:name="_Toc10556756"/>
      <w:bookmarkEnd w:id="5"/>
    </w:p>
    <w:p w:rsidR="00D814B8" w:rsidRDefault="0053412E">
      <w:pPr>
        <w:pStyle w:val="Nagwek1"/>
        <w:keepNext w:val="0"/>
        <w:keepLines w:val="0"/>
        <w:pageBreakBefore/>
        <w:widowControl w:val="0"/>
        <w:spacing w:before="0"/>
      </w:pPr>
      <w:bookmarkStart w:id="23" w:name="_Toc10640657"/>
      <w:bookmarkStart w:id="24" w:name="_Toc10737183"/>
      <w:bookmarkStart w:id="25" w:name="_Toc10792829"/>
      <w:bookmarkStart w:id="26" w:name="_Toc10817305"/>
      <w:bookmarkStart w:id="27" w:name="_Toc13481620"/>
      <w:bookmarkStart w:id="28" w:name="_Toc13559306"/>
      <w:bookmarkStart w:id="29" w:name="_Toc13651192"/>
      <w:bookmarkStart w:id="30" w:name="_Toc14429159"/>
      <w:r>
        <w:lastRenderedPageBreak/>
        <w:t>Wstęp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D814B8" w:rsidRDefault="0053412E">
      <w:pPr>
        <w:widowControl w:val="0"/>
        <w:spacing w:before="240" w:after="0"/>
        <w:jc w:val="both"/>
      </w:pPr>
      <w:r>
        <w:t>Niniejsze „Wskazówki” nie są</w:t>
      </w:r>
      <w:r>
        <w:t xml:space="preserve"> kursem programu MS Excel – jedynie wyjaśniają niektóre kwestie, związane z korzystaniem z przygotowanych w Excel’u wniosków o przyznanie pomocy i wniosków o płatność w poddziałaniach 19.2, 19.3 oraz 19.4.</w:t>
      </w:r>
    </w:p>
    <w:p w:rsidR="00D814B8" w:rsidRDefault="0053412E">
      <w:pPr>
        <w:widowControl w:val="0"/>
        <w:spacing w:before="240" w:after="0"/>
        <w:jc w:val="both"/>
      </w:pPr>
      <w:r>
        <w:t>We „Wskazówkach” korzystano (za zgodą autora – Pan</w:t>
      </w:r>
      <w:r>
        <w:t xml:space="preserve">a Przemysława Szyperskiego) z materiałów pochodzących z internetowego kursu MS Excel i VBA, dostępnego pod adresem: </w:t>
      </w:r>
      <w:hyperlink r:id="rId118" w:history="1">
        <w:r>
          <w:rPr>
            <w:color w:val="5B9BD5"/>
          </w:rPr>
          <w:t>h</w:t>
        </w:r>
        <w:bookmarkStart w:id="31" w:name="_Hlt8914832"/>
        <w:bookmarkStart w:id="32" w:name="_Hlt8914833"/>
        <w:r>
          <w:rPr>
            <w:color w:val="5B9BD5"/>
          </w:rPr>
          <w:t>t</w:t>
        </w:r>
        <w:bookmarkEnd w:id="31"/>
        <w:bookmarkEnd w:id="32"/>
        <w:r>
          <w:rPr>
            <w:color w:val="5B9BD5"/>
          </w:rPr>
          <w:t>tp://excelszkolenie.pl/</w:t>
        </w:r>
      </w:hyperlink>
    </w:p>
    <w:p w:rsidR="00D814B8" w:rsidRDefault="0053412E">
      <w:pPr>
        <w:widowControl w:val="0"/>
        <w:spacing w:before="240" w:after="0"/>
        <w:jc w:val="both"/>
      </w:pPr>
      <w:r>
        <w:t>„Wskazówki” nie są oficjalnym dokumentem „proceduralnym” – nie znajdzie</w:t>
      </w:r>
      <w:r>
        <w:t>cie Państwo odnośników do „Wskazówek” w żadnej instrukcji lub Książce Procedur.</w:t>
      </w:r>
    </w:p>
    <w:p w:rsidR="00D814B8" w:rsidRDefault="0053412E">
      <w:pPr>
        <w:widowControl w:val="0"/>
        <w:spacing w:before="240" w:after="120"/>
        <w:jc w:val="both"/>
      </w:pPr>
      <w:r>
        <w:t>„Wskazówki” zostały podzielone na kilka części, do których łatwo można się dostać poprzez kliknięcie w odpowiedni akapit „</w:t>
      </w:r>
      <w:hyperlink r:id="rId119" w:history="1">
        <w:r>
          <w:rPr>
            <w:rStyle w:val="Hipercze"/>
          </w:rPr>
          <w:t>Spis</w:t>
        </w:r>
        <w:bookmarkStart w:id="33" w:name="_Hlt499912156"/>
        <w:r>
          <w:rPr>
            <w:rStyle w:val="Hipercze"/>
          </w:rPr>
          <w:t>u</w:t>
        </w:r>
        <w:bookmarkStart w:id="34" w:name="_Hlt499910874"/>
        <w:bookmarkStart w:id="35" w:name="_Hlt499910875"/>
        <w:bookmarkEnd w:id="33"/>
        <w:r>
          <w:rPr>
            <w:rStyle w:val="Hipercze"/>
          </w:rPr>
          <w:t xml:space="preserve"> </w:t>
        </w:r>
        <w:bookmarkStart w:id="36" w:name="_Hlt500141055"/>
        <w:bookmarkEnd w:id="34"/>
        <w:bookmarkEnd w:id="35"/>
        <w:r>
          <w:rPr>
            <w:rStyle w:val="Hipercze"/>
          </w:rPr>
          <w:t>t</w:t>
        </w:r>
        <w:bookmarkStart w:id="37" w:name="_Hlt499911946"/>
        <w:bookmarkEnd w:id="36"/>
        <w:r>
          <w:rPr>
            <w:rStyle w:val="Hipercze"/>
          </w:rPr>
          <w:t>r</w:t>
        </w:r>
        <w:bookmarkEnd w:id="37"/>
        <w:r>
          <w:rPr>
            <w:rStyle w:val="Hipercze"/>
          </w:rPr>
          <w:t>eści</w:t>
        </w:r>
      </w:hyperlink>
      <w:r>
        <w:t>”. W przypadku do</w:t>
      </w:r>
      <w:r>
        <w:t>kumentów MS Word wyświetlający się nad interaktywnymi /niebieskimi, podkreślonymi/ fragmentami teksu „dymek” o treści: „</w:t>
      </w:r>
      <w:r>
        <w:rPr>
          <w:i/>
        </w:rPr>
        <w:t>Ctrl + kliknięcie śledzi łącze</w:t>
      </w:r>
      <w:r>
        <w:t>” oznacza, że jeśli wciśniemy (i przytrzymamy) klawisz [Ctrl], a następnie klikniemy lewym klawiszem myszk</w:t>
      </w:r>
      <w:r>
        <w:t>i w interaktywny fragment tekstu (hiperłącze), to zostaniemy przeniesieni w odpowiedni – powiązany z nim – fragment dokumentu. W dokumencie zapisanym jako plik w formacie *.pdf nie ma żadnych „dymków” – po prostu klikamy w hiperłącze.</w:t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1134"/>
        <w:gridCol w:w="4502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48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right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24128" cy="990596"/>
                  <wp:effectExtent l="0" t="0" r="9522" b="4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8" cy="9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</w:pPr>
          </w:p>
        </w:tc>
        <w:tc>
          <w:tcPr>
            <w:tcW w:w="45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62221" cy="876296"/>
                  <wp:effectExtent l="0" t="0" r="0" b="4"/>
                  <wp:docPr id="3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1" cy="87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B8" w:rsidRDefault="0053412E">
      <w:pPr>
        <w:widowControl w:val="0"/>
        <w:spacing w:before="240" w:after="0"/>
        <w:jc w:val="both"/>
      </w:pPr>
      <w:r>
        <w:t xml:space="preserve">Formularze </w:t>
      </w:r>
      <w:r>
        <w:t>wniosków zostały przygotowane w programie MS Excel w wersji 2013 – będą zatem działały (dadzą się otwierać, wypełniać i zapisywać) właśnie w tej wersji. Korzystanie z nich będzie możliwe także w wersji MS Excel 2010. Jak będzie w wypadku innych wersji – ni</w:t>
      </w:r>
      <w:r>
        <w:t>e wiadomo – nie posiadamy bowiem dostępu do starszego oprogramowania MS Office. Istnieje szansa, że wnioski zadziałają także w starszych Excel’ach, ponieważ nie zawierają żadnych niestandardowych funkcji i makr wymagających poszukiwania i instalacji dodatk</w:t>
      </w:r>
      <w:r>
        <w:t>owych bibliotek.</w:t>
      </w:r>
    </w:p>
    <w:p w:rsidR="00D814B8" w:rsidRDefault="0053412E">
      <w:pPr>
        <w:pStyle w:val="Nagwek3"/>
        <w:keepNext w:val="0"/>
        <w:keepLines w:val="0"/>
        <w:widowControl w:val="0"/>
        <w:spacing w:before="240" w:after="120"/>
      </w:pPr>
      <w:bookmarkStart w:id="38" w:name="_Toc500339098"/>
      <w:bookmarkStart w:id="39" w:name="_Toc500423435"/>
      <w:bookmarkStart w:id="40" w:name="_Toc500505027"/>
      <w:bookmarkStart w:id="41" w:name="_Toc500768208"/>
      <w:bookmarkStart w:id="42" w:name="_Toc500853272"/>
      <w:bookmarkStart w:id="43" w:name="_Toc8914887"/>
      <w:bookmarkStart w:id="44" w:name="_Toc9422405"/>
      <w:bookmarkStart w:id="45" w:name="_Toc9505017"/>
      <w:bookmarkStart w:id="46" w:name="_Toc9594599"/>
      <w:bookmarkStart w:id="47" w:name="_Toc9866913"/>
      <w:bookmarkStart w:id="48" w:name="_Toc9924617"/>
      <w:bookmarkStart w:id="49" w:name="_Toc10015000"/>
      <w:bookmarkStart w:id="50" w:name="_Toc10556757"/>
      <w:bookmarkStart w:id="51" w:name="_Toc10640658"/>
      <w:bookmarkStart w:id="52" w:name="_Toc10737184"/>
      <w:bookmarkStart w:id="53" w:name="_Toc10792830"/>
      <w:bookmarkStart w:id="54" w:name="_Toc10817306"/>
      <w:bookmarkStart w:id="55" w:name="_Toc13481621"/>
      <w:bookmarkStart w:id="56" w:name="_Toc13559307"/>
      <w:bookmarkStart w:id="57" w:name="_Toc13651193"/>
      <w:bookmarkStart w:id="58" w:name="_Toc14429160"/>
      <w:r>
        <w:t>Jak najprościej zidentyfikować posiadaną wersję Excela?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tbl>
      <w:tblPr>
        <w:tblW w:w="104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80"/>
        <w:gridCol w:w="5586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4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39296" cy="1767178"/>
                  <wp:effectExtent l="0" t="0" r="8654" b="4472"/>
                  <wp:docPr id="4" name="Obraz 4" descr="http://excelszkolenie.pl/Wstep_pliki/image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96" cy="176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86831" cy="1719044"/>
                  <wp:effectExtent l="0" t="0" r="0" b="0"/>
                  <wp:docPr id="5" name="Obraz 5" descr="http://excelszkolenie.pl/Excel%202007/Bez%20Paniki%20to%20Tylko%20Wstazka_pliki/image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31" cy="171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1046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  <w:rPr>
                <w:i/>
              </w:rPr>
            </w:pPr>
            <w:r>
              <w:rPr>
                <w:i/>
              </w:rPr>
              <w:t>„Excel’a 2013 najprościej odróżnić od wersji 2010 tym, że nazwy Kart na Wstążce są zapisane dużymi literami.”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4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43415" cy="1893758"/>
                  <wp:effectExtent l="0" t="0" r="0" b="0"/>
                  <wp:docPr id="6" name="Obraz 6" descr="http://excelszkolenie.pl/Excel%202007/Bez%20Paniki%20to%20Tylko%20Wstazka_pliki/image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15" cy="189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67053" cy="1657350"/>
                  <wp:effectExtent l="0" t="0" r="0" b="0"/>
                  <wp:docPr id="7" name="Obraz 7" descr="http://excelszkolenie.pl/Excel%202007/Bez%20Paniki%20to%20Tylko%20Wstazka_pliki/image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6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</w:pPr>
            <w:r>
              <w:rPr>
                <w:i/>
                <w:sz w:val="18"/>
                <w:szCs w:val="18"/>
                <w:lang w:eastAsia="pl-PL"/>
              </w:rPr>
              <w:t xml:space="preserve">Źródło: </w:t>
            </w:r>
            <w:hyperlink r:id="rId126" w:history="1">
              <w:r>
                <w:rPr>
                  <w:rStyle w:val="Hipercze"/>
                  <w:i/>
                  <w:sz w:val="18"/>
                  <w:szCs w:val="18"/>
                  <w:lang w:eastAsia="pl-PL"/>
                </w:rPr>
                <w:t>http://excelszkolenie.pl/Wstep.htm</w:t>
              </w:r>
            </w:hyperlink>
            <w:r>
              <w:rPr>
                <w:i/>
                <w:sz w:val="18"/>
                <w:szCs w:val="18"/>
                <w:lang w:eastAsia="pl-PL"/>
              </w:rPr>
              <w:t xml:space="preserve"> </w:t>
            </w:r>
          </w:p>
        </w:tc>
      </w:tr>
    </w:tbl>
    <w:p w:rsidR="00D814B8" w:rsidRDefault="0053412E">
      <w:pPr>
        <w:widowControl w:val="0"/>
        <w:spacing w:after="120"/>
        <w:jc w:val="both"/>
      </w:pPr>
      <w:r>
        <w:lastRenderedPageBreak/>
        <w:t>We „Wskazówkach” trafią się czasem określenia, które nie będą oznaczały (tak jak w przypadku „Wstążki”) tego co zwykło się z nimi kojarzyć. Poniższy rysunek pokazuje podstawowe nazwy elementów Excela 2013, które będą uż</w:t>
      </w:r>
      <w:r>
        <w:t>ywane w kolejnych rozdziałach „Wskazówek”.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360404" cy="2559158"/>
            <wp:effectExtent l="0" t="0" r="0" b="0"/>
            <wp:docPr id="8" name="Obraz 8" descr="http://excelszkolenie.pl/Wstep_pliki/image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04" cy="2559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after="0"/>
        <w:ind w:left="993"/>
      </w:pPr>
      <w:r>
        <w:rPr>
          <w:i/>
          <w:sz w:val="18"/>
          <w:szCs w:val="18"/>
        </w:rPr>
        <w:t xml:space="preserve">Żródło: </w:t>
      </w:r>
      <w:hyperlink r:id="rId128" w:history="1">
        <w:r>
          <w:rPr>
            <w:rStyle w:val="Hipercze"/>
            <w:i/>
            <w:sz w:val="18"/>
            <w:szCs w:val="18"/>
          </w:rPr>
          <w:t>http://excelszkolenie.pl/Wstep.htm</w:t>
        </w:r>
      </w:hyperlink>
      <w:r>
        <w:rPr>
          <w:i/>
          <w:sz w:val="18"/>
          <w:szCs w:val="18"/>
        </w:rPr>
        <w:t xml:space="preserve"> </w:t>
      </w:r>
    </w:p>
    <w:p w:rsidR="00D814B8" w:rsidRDefault="0053412E">
      <w:pPr>
        <w:widowControl w:val="0"/>
        <w:spacing w:before="240" w:after="0"/>
        <w:jc w:val="both"/>
      </w:pPr>
      <w:r>
        <w:t xml:space="preserve">Kolejna rzecz – niezwiązana bezpośrednio z formularzami wniosków, które może być jednak istotna – to sprawdzenie i </w:t>
      </w:r>
      <w:r>
        <w:t>ewentualne ustawienie odpowiedniego formatu „daty krótkiej”. System operacyjny (w znaczącej większości przypadków będzie to któraś z wersji MS Windows) korzysta z dwóch typów daty – długiej lub krótkiej. Odpowiednio wyglądają tak:</w:t>
      </w:r>
    </w:p>
    <w:p w:rsidR="00D814B8" w:rsidRDefault="0053412E">
      <w:pPr>
        <w:pStyle w:val="Akapitzlist"/>
        <w:widowControl w:val="0"/>
        <w:numPr>
          <w:ilvl w:val="0"/>
          <w:numId w:val="1"/>
        </w:numPr>
        <w:spacing w:after="0"/>
        <w:jc w:val="both"/>
      </w:pPr>
      <w:r>
        <w:t>data długa: d MMMM rrrr (</w:t>
      </w:r>
      <w:r>
        <w:t>1 grudnia 2017) – często wykorzystywana w pismach (MS Word)</w:t>
      </w:r>
    </w:p>
    <w:p w:rsidR="00D814B8" w:rsidRDefault="0053412E">
      <w:pPr>
        <w:pStyle w:val="Akapitzlist"/>
        <w:widowControl w:val="0"/>
        <w:numPr>
          <w:ilvl w:val="0"/>
          <w:numId w:val="1"/>
        </w:numPr>
        <w:spacing w:after="0"/>
        <w:jc w:val="both"/>
      </w:pPr>
      <w:r>
        <w:t>data krótka: dd-MM-rrrr (01-12-2017) – stosowana w arkuszach i bazach (MS Excel, MS Acces)</w:t>
      </w:r>
    </w:p>
    <w:p w:rsidR="00D814B8" w:rsidRDefault="0053412E">
      <w:pPr>
        <w:widowControl w:val="0"/>
        <w:spacing w:before="240" w:after="120"/>
        <w:jc w:val="both"/>
      </w:pPr>
      <w:r>
        <w:t>Z nieznanych przyczyn domyślnie ustawionym w MS Windows formatem daty krótkiej jest urzędowa data „unijna</w:t>
      </w:r>
      <w:r>
        <w:t>” – czyli rrrr-MM-dd – zamiast swojskiej dd-MM-rrrr, wymaganej w kilku miejscach w naszych formularzach wniosków. Jak się upewnić/sprawdzić czy format daty krótkiej jest „nasz”? Najprościej zaznaczyć pustą komórkę i wcisnąć kombinację [Ctrl]+[ ; ] (wpisują</w:t>
      </w:r>
      <w:r>
        <w:t>cą do pola bieżącą datę w formacie krótkim właśnie) – jeśli data wygląda jak w wierszu nr 2 z poniższego obrazka, to jest to data, „nasza”.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2428564" cy="981919"/>
            <wp:effectExtent l="0" t="0" r="0" b="8681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564" cy="981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jc w:val="both"/>
      </w:pPr>
      <w:r>
        <w:t>W innym wypadku (patrz wiersz nr 3) trzeba będzie zmodyfikować datę krótką w ustawieniach Windows’a (jeśli tego ni</w:t>
      </w:r>
      <w:r>
        <w:t>e zrobimy, to napotkamy problemy z poprawnością wpisywanych danych w tych częściach formularzy, które wymagają wprowadzenia dat – np. plan finansowy lub zestawienie poniesionych kosztów, wykaz faktur, itp.).</w:t>
      </w:r>
    </w:p>
    <w:p w:rsidR="00D814B8" w:rsidRDefault="0053412E">
      <w:pPr>
        <w:pStyle w:val="Nagwek3"/>
        <w:keepNext w:val="0"/>
        <w:keepLines w:val="0"/>
        <w:widowControl w:val="0"/>
        <w:spacing w:before="240" w:after="120"/>
      </w:pPr>
      <w:bookmarkStart w:id="59" w:name="_Toc500247253"/>
      <w:bookmarkStart w:id="60" w:name="_Toc500339099"/>
      <w:bookmarkStart w:id="61" w:name="_Toc500423436"/>
      <w:bookmarkStart w:id="62" w:name="_Toc500505028"/>
      <w:bookmarkStart w:id="63" w:name="_Toc500768209"/>
      <w:bookmarkStart w:id="64" w:name="_Toc500853273"/>
      <w:bookmarkStart w:id="65" w:name="_Toc8914888"/>
      <w:bookmarkStart w:id="66" w:name="_Toc9422406"/>
      <w:bookmarkStart w:id="67" w:name="_Toc9505018"/>
      <w:bookmarkStart w:id="68" w:name="_Toc9594600"/>
      <w:bookmarkStart w:id="69" w:name="_Toc9866914"/>
      <w:bookmarkStart w:id="70" w:name="_Toc9924618"/>
      <w:bookmarkStart w:id="71" w:name="_Toc10015001"/>
      <w:bookmarkStart w:id="72" w:name="_Toc10556758"/>
      <w:bookmarkStart w:id="73" w:name="_Toc10640659"/>
      <w:bookmarkStart w:id="74" w:name="_Toc10737185"/>
      <w:bookmarkStart w:id="75" w:name="_Toc10792831"/>
      <w:bookmarkStart w:id="76" w:name="_Toc10817307"/>
      <w:bookmarkStart w:id="77" w:name="_Toc13481622"/>
      <w:bookmarkStart w:id="78" w:name="_Toc13559308"/>
      <w:bookmarkStart w:id="79" w:name="_Toc13651194"/>
      <w:bookmarkStart w:id="80" w:name="_Toc14429161"/>
      <w:r>
        <w:t>Jak zmienić format daty krótkiej z urzędowego un</w:t>
      </w:r>
      <w:r>
        <w:t>ijnego na urzędowy polski?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D814B8" w:rsidRDefault="0053412E">
      <w:pPr>
        <w:widowControl w:val="0"/>
        <w:spacing w:after="0"/>
        <w:jc w:val="both"/>
      </w:pPr>
      <w:bookmarkStart w:id="81" w:name="UrzPolFormatDatyKrótkiej"/>
      <w:r>
        <w:t>W tym celu należy</w:t>
      </w:r>
      <w:bookmarkEnd w:id="81"/>
      <w:r>
        <w:t>:</w:t>
      </w:r>
    </w:p>
    <w:p w:rsidR="00D814B8" w:rsidRDefault="0053412E">
      <w:pPr>
        <w:widowControl w:val="0"/>
        <w:spacing w:after="0"/>
        <w:jc w:val="both"/>
      </w:pPr>
      <w:r>
        <w:t>(1) uruchomić program Eksplorator Windows i w bocznym menu (po lewej stronie) wybrać „Ten komputer”…</w:t>
      </w:r>
    </w:p>
    <w:tbl>
      <w:tblPr>
        <w:tblW w:w="103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851"/>
        <w:gridCol w:w="552"/>
        <w:gridCol w:w="3676"/>
        <w:gridCol w:w="166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595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90845" cy="1718029"/>
                  <wp:effectExtent l="0" t="0" r="0" b="0"/>
                  <wp:docPr id="10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845" cy="171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t>(2) a następnie „Otwórz Panel sterowania”…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2965" cy="1309914"/>
                  <wp:effectExtent l="0" t="0" r="0" b="4536"/>
                  <wp:docPr id="11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65" cy="130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650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120" w:after="120"/>
              <w:jc w:val="both"/>
              <w:rPr>
                <w:lang w:eastAsia="pl-PL"/>
              </w:rPr>
            </w:pPr>
            <w:r>
              <w:rPr>
                <w:lang w:eastAsia="pl-PL"/>
              </w:rPr>
              <w:lastRenderedPageBreak/>
              <w:t>(3) wybrać „Zegar, język i region” w Panelu sterowania…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6195" w:dyaOrig="31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309.6pt;height:159pt;visibility:visible;mso-wrap-style:square" o:ole="">
                  <v:imagedata r:id="rId132" o:title=""/>
                </v:shape>
                <o:OLEObject Type="Embed" ProgID="PBrush" ShapeID="Picture 1" DrawAspect="Content" ObjectID="_1631183956" r:id="rId133"/>
              </w:object>
            </w: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before="120" w:after="0"/>
              <w:jc w:val="both"/>
            </w:pPr>
          </w:p>
          <w:p w:rsidR="00D814B8" w:rsidRDefault="0053412E">
            <w:pPr>
              <w:widowControl w:val="0"/>
              <w:spacing w:after="0"/>
              <w:jc w:val="both"/>
            </w:pPr>
            <w:r>
              <w:t>(4) następnie polecenie „Region”…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2282" w:dyaOrig="2092">
                <v:shape id="Picture 2" o:spid="_x0000_i1026" type="#_x0000_t75" style="width:114pt;height:104.4pt;visibility:visible;mso-wrap-style:square" o:ole="">
                  <v:imagedata r:id="rId134" o:title=""/>
                </v:shape>
                <o:OLEObject Type="Embed" ProgID="PBrush" ShapeID="Picture 2" DrawAspect="Content" ObjectID="_1631183957" r:id="rId135"/>
              </w:object>
            </w:r>
          </w:p>
          <w:p w:rsidR="00D814B8" w:rsidRDefault="00D814B8">
            <w:pPr>
              <w:widowControl w:val="0"/>
              <w:spacing w:after="0"/>
              <w:jc w:val="both"/>
            </w:pPr>
          </w:p>
          <w:p w:rsidR="00D814B8" w:rsidRDefault="0053412E">
            <w:pPr>
              <w:widowControl w:val="0"/>
              <w:spacing w:after="0"/>
              <w:jc w:val="both"/>
            </w:pPr>
            <w:r>
              <w:t>…aby dostać się do…</w:t>
            </w:r>
          </w:p>
        </w:tc>
        <w:tc>
          <w:tcPr>
            <w:tcW w:w="1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120" w:after="0"/>
              <w:jc w:val="both"/>
              <w:rPr>
                <w:lang w:eastAsia="pl-PL"/>
              </w:rPr>
            </w:pPr>
            <w:r>
              <w:rPr>
                <w:lang w:eastAsia="pl-PL"/>
              </w:rPr>
              <w:t>(5) okna „Region”…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4524" w:dyaOrig="5013">
                <v:shape id="Picture 3" o:spid="_x0000_i1027" type="#_x0000_t75" style="width:226.2pt;height:250.8pt;visibility:visible;mso-wrap-style:square" o:ole="">
                  <v:imagedata r:id="rId136" o:title=""/>
                </v:shape>
                <o:OLEObject Type="Embed" ProgID="PBrush" ShapeID="Picture 3" DrawAspect="Content" ObjectID="_1631183958" r:id="rId137"/>
              </w:object>
            </w:r>
          </w:p>
        </w:tc>
        <w:tc>
          <w:tcPr>
            <w:tcW w:w="50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  <w:p w:rsidR="00D814B8" w:rsidRDefault="0053412E">
            <w:pPr>
              <w:widowControl w:val="0"/>
              <w:spacing w:after="0"/>
              <w:jc w:val="both"/>
            </w:pPr>
            <w:r>
              <w:t xml:space="preserve">- jeżeli data wygląda jak na rysunku obok (w czerwonym owalu) należy kliknąć w „ustawienia dodatkowe” (w zielonym owalu </w:t>
            </w:r>
            <w:r>
              <w:t>na rysunku obok) by (6) otworzyć okno „Dostosowywanie formatu” (poniżej)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4048" w:dyaOrig="5217">
                <v:shape id="Picture 4" o:spid="_x0000_i1028" type="#_x0000_t75" style="width:202.2pt;height:261pt;visibility:visible;mso-wrap-style:square" o:ole="">
                  <v:imagedata r:id="rId138" o:title=""/>
                </v:shape>
                <o:OLEObject Type="Embed" ProgID="PBrush" ShapeID="Picture 4" DrawAspect="Content" ObjectID="_1631183959" r:id="rId139"/>
              </w:object>
            </w:r>
            <w:r>
              <w:t xml:space="preserve"> </w:t>
            </w:r>
          </w:p>
        </w:tc>
        <w:tc>
          <w:tcPr>
            <w:tcW w:w="1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</w:tbl>
    <w:p w:rsidR="00D814B8" w:rsidRDefault="0053412E">
      <w:pPr>
        <w:widowControl w:val="0"/>
        <w:spacing w:before="120" w:after="0"/>
        <w:jc w:val="both"/>
      </w:pPr>
      <w:r>
        <w:t xml:space="preserve">…na zakładce „Data” w polu „Data krótka” (7) wpisać format daty krótkiej: </w:t>
      </w:r>
      <w:r>
        <w:rPr>
          <w:b/>
        </w:rPr>
        <w:t xml:space="preserve">dd-MM-rrrr </w:t>
      </w:r>
      <w:r>
        <w:t>i (8) potwierdzić zmianę (dodanie formatu) przyciskiem „Zastosuj”.</w:t>
      </w:r>
    </w:p>
    <w:p w:rsidR="00D814B8" w:rsidRDefault="0053412E">
      <w:pPr>
        <w:widowControl w:val="0"/>
        <w:spacing w:before="240" w:after="0"/>
        <w:jc w:val="both"/>
      </w:pPr>
      <w:r>
        <w:t xml:space="preserve">Powyższa </w:t>
      </w:r>
      <w:r>
        <w:t xml:space="preserve">procedura sprawdza się w środowisku Windows 8 oraz Windows 10 – w starszych „oknach” (Windows 7 i wcześniejszych) należy wybrać polecenie „Start” (w lewym dolnym rogu ekranu), a następnie „Ustawienia”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</w:rPr>
        <w:t></w:t>
      </w:r>
      <w:r>
        <w:t xml:space="preserve">”Panel sterowania”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</w:rPr>
        <w:t></w:t>
      </w:r>
      <w:r>
        <w:t xml:space="preserve">”Opcje regionalne i językowe”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>
        <w:t>i dalej analogicznie jak opisano wyżej od pkt. (5).</w:t>
      </w:r>
    </w:p>
    <w:p w:rsidR="00D814B8" w:rsidRDefault="0053412E">
      <w:pPr>
        <w:pStyle w:val="Nagwek1"/>
        <w:keepNext w:val="0"/>
        <w:keepLines w:val="0"/>
        <w:widowControl w:val="0"/>
      </w:pPr>
      <w:bookmarkStart w:id="82" w:name="_Toc500247254"/>
      <w:bookmarkStart w:id="83" w:name="_Toc500339100"/>
      <w:bookmarkStart w:id="84" w:name="_Toc500423437"/>
      <w:bookmarkStart w:id="85" w:name="_Toc500505029"/>
      <w:bookmarkStart w:id="86" w:name="_Toc500768210"/>
      <w:bookmarkStart w:id="87" w:name="_Toc500853274"/>
      <w:bookmarkStart w:id="88" w:name="_Toc8914889"/>
      <w:bookmarkStart w:id="89" w:name="_Toc9422407"/>
      <w:bookmarkStart w:id="90" w:name="_Toc9505019"/>
      <w:bookmarkStart w:id="91" w:name="_Toc9594601"/>
      <w:bookmarkStart w:id="92" w:name="_Toc9866915"/>
      <w:bookmarkStart w:id="93" w:name="_Toc9924619"/>
      <w:bookmarkStart w:id="94" w:name="_Toc10015002"/>
      <w:bookmarkStart w:id="95" w:name="_Toc10556759"/>
      <w:bookmarkStart w:id="96" w:name="_Toc10640660"/>
      <w:bookmarkStart w:id="97" w:name="_Toc10737186"/>
      <w:bookmarkStart w:id="98" w:name="_Toc10792832"/>
      <w:bookmarkStart w:id="99" w:name="_Toc10817308"/>
      <w:bookmarkStart w:id="100" w:name="_Toc13481623"/>
      <w:bookmarkStart w:id="101" w:name="_Toc13559309"/>
      <w:bookmarkStart w:id="102" w:name="_Toc13651195"/>
      <w:bookmarkStart w:id="103" w:name="_Toc14429162"/>
      <w:r>
        <w:t>Co można, a czego nie należy robić we wnioskach i z wnioskami?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D814B8" w:rsidRDefault="0053412E">
      <w:pPr>
        <w:widowControl w:val="0"/>
        <w:spacing w:before="240" w:after="0"/>
        <w:jc w:val="both"/>
      </w:pPr>
      <w:r>
        <w:t xml:space="preserve">Na niektóre pola na formularzach wniosków nałożono tzw. </w:t>
      </w:r>
      <w:r>
        <w:rPr>
          <w:b/>
        </w:rPr>
        <w:t>reguły poprawności danych</w:t>
      </w:r>
      <w:r>
        <w:t xml:space="preserve">, w niektórych zdefiniowano </w:t>
      </w:r>
      <w:r>
        <w:rPr>
          <w:b/>
        </w:rPr>
        <w:t>formuły</w:t>
      </w:r>
      <w:r>
        <w:t xml:space="preserve">, które coś robią – same </w:t>
      </w:r>
      <w:r>
        <w:t>liczą, automatycznie generują jakieś dane (wartości), zaciągają dane z innych pól w bieżącym formularzu, bądź z innych formularzy, w ramach tego samego skoroszytu (pliku), itp. Jest także kilka pól zablokowanych (takich, w których nic nie da się wpisać). P</w:t>
      </w:r>
      <w:r>
        <w:t>oszczególne arkusze (części wniosków wydzielone zakładkami) zostały „zahasłowane” (objęte ochroną przed przypadkowymi zmianami struktury wniosków) – również cały skoroszyt (plik Excel’a zawierający wszystkie arkusze wniosku) jest „chroniony” (nie można dod</w:t>
      </w:r>
      <w:r>
        <w:t xml:space="preserve">awać nowych ani usuwać już istniejących arkuszy). Zabezpieczenia te mają chronić lub ułatwiać korzystanie z formularzy i zapobiegać przypadkowym ingerencjom w obowiązujące „wzory” wniosków, które mogłyby zaowocować skierowaniem wniosku </w:t>
      </w:r>
      <w:r>
        <w:lastRenderedPageBreak/>
        <w:t>do poprawy, uzupełni</w:t>
      </w:r>
      <w:r>
        <w:t xml:space="preserve">enia lub pozostawieniem go bez rozpatrzenia. Składany wniosek powinien być zgodny z obowiązującym wzorem. O tym co wpisywać do wniosków, dlaczego i skąd czerpać informacje mówią odpowiednie </w:t>
      </w:r>
      <w:r>
        <w:rPr>
          <w:i/>
        </w:rPr>
        <w:t>„Instrukcje wypełniania wniosku…”</w:t>
      </w:r>
      <w:r>
        <w:t xml:space="preserve"> do poszczególnych wniosków o prz</w:t>
      </w:r>
      <w:r>
        <w:t xml:space="preserve">yznanie pomocy i wniosków o płatność w poddziałaniach 19.2, 19.3, oraz 19.4, dostępne na stronie Agencji Restrukturyzacji i Modernizacji Rolnictwa: </w:t>
      </w:r>
      <w:hyperlink r:id="rId140" w:history="1">
        <w:r>
          <w:rPr>
            <w:rStyle w:val="Hipercze"/>
          </w:rPr>
          <w:t>http://www.arimr.g</w:t>
        </w:r>
        <w:r>
          <w:rPr>
            <w:rStyle w:val="Hipercze"/>
          </w:rPr>
          <w:t>ov.pl/dla-beneficjenta/pobierz-lub-wyslij-wniosek.html</w:t>
        </w:r>
      </w:hyperlink>
      <w:r>
        <w:t xml:space="preserve">. „Wskazówki” zawierają natomiast informacje w jaki sposób zasady z </w:t>
      </w:r>
      <w:r>
        <w:rPr>
          <w:i/>
        </w:rPr>
        <w:t>„Instrukcji”</w:t>
      </w:r>
      <w:r>
        <w:t xml:space="preserve"> zostały nałożone na excel’owe wnioski, i jak tych wniosków używać (w aspekcie „technicznym”).</w:t>
      </w:r>
    </w:p>
    <w:p w:rsidR="00D814B8" w:rsidRDefault="0053412E">
      <w:pPr>
        <w:widowControl w:val="0"/>
        <w:spacing w:before="240" w:after="120"/>
        <w:jc w:val="both"/>
      </w:pPr>
      <w:r>
        <w:t>Aby swobodniej poruszać się</w:t>
      </w:r>
      <w:r>
        <w:t xml:space="preserve"> po „Wskazówkach” (i formularzu wniosku) należy rozróżniać </w:t>
      </w:r>
      <w:r>
        <w:rPr>
          <w:b/>
        </w:rPr>
        <w:t>nazwę kolumny w arkuszu</w:t>
      </w:r>
      <w:r>
        <w:t xml:space="preserve">, od </w:t>
      </w:r>
      <w:r>
        <w:rPr>
          <w:b/>
        </w:rPr>
        <w:t>numeru kolumny w tabeli</w:t>
      </w:r>
      <w:r>
        <w:t xml:space="preserve"> oraz </w:t>
      </w:r>
      <w:r>
        <w:rPr>
          <w:b/>
        </w:rPr>
        <w:t>numeru wiersza w arkuszu</w:t>
      </w:r>
      <w:r>
        <w:t xml:space="preserve">, </w:t>
      </w:r>
      <w:r>
        <w:rPr>
          <w:b/>
        </w:rPr>
        <w:t>nazwy wiersza w tabeli</w:t>
      </w:r>
      <w:r>
        <w:t xml:space="preserve">, </w:t>
      </w:r>
      <w:r>
        <w:rPr>
          <w:b/>
        </w:rPr>
        <w:t>numeru pola</w:t>
      </w:r>
      <w:r>
        <w:t xml:space="preserve"> i </w:t>
      </w:r>
      <w:r>
        <w:rPr>
          <w:b/>
        </w:rPr>
        <w:t>adresu pola</w:t>
      </w:r>
      <w:r>
        <w:t xml:space="preserve"> – jak na rysunku poniżej.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996891" cy="1666558"/>
            <wp:effectExtent l="0" t="0" r="3859" b="0"/>
            <wp:docPr id="1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96891" cy="1666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jc w:val="both"/>
      </w:pPr>
      <w:r>
        <w:t>W każdej z „Instrukcji wypełniania w</w:t>
      </w:r>
      <w:r>
        <w:t>niosku…” znajdują się odniesienia do numerów kolumn, numerów pól i numerów/nazw wierszy w tabeli (np. w tabeli ZRF), natomiast formuły i reguły poprawności (walidacje) opierają się na nazwach kolumn i numerach wierszy w arkuszu.</w:t>
      </w:r>
    </w:p>
    <w:p w:rsidR="00D814B8" w:rsidRDefault="0053412E">
      <w:pPr>
        <w:pStyle w:val="Nagwek2"/>
        <w:keepNext w:val="0"/>
        <w:keepLines w:val="0"/>
        <w:widowControl w:val="0"/>
        <w:spacing w:before="240"/>
      </w:pPr>
      <w:bookmarkStart w:id="104" w:name="_Toc500247255"/>
      <w:bookmarkStart w:id="105" w:name="_Toc500339101"/>
      <w:bookmarkStart w:id="106" w:name="_Toc500423438"/>
      <w:bookmarkStart w:id="107" w:name="_Toc500505030"/>
      <w:bookmarkStart w:id="108" w:name="_Toc500768211"/>
      <w:bookmarkStart w:id="109" w:name="_Toc500853275"/>
      <w:bookmarkStart w:id="110" w:name="_Toc8914890"/>
      <w:bookmarkStart w:id="111" w:name="_Toc9422408"/>
      <w:bookmarkStart w:id="112" w:name="_Toc9505020"/>
      <w:bookmarkStart w:id="113" w:name="_Toc9594602"/>
      <w:bookmarkStart w:id="114" w:name="_Toc9866916"/>
      <w:bookmarkStart w:id="115" w:name="_Toc9924620"/>
      <w:bookmarkStart w:id="116" w:name="_Toc10015003"/>
      <w:bookmarkStart w:id="117" w:name="_Toc10556760"/>
      <w:bookmarkStart w:id="118" w:name="_Toc10640661"/>
      <w:bookmarkStart w:id="119" w:name="_Toc10737187"/>
      <w:bookmarkStart w:id="120" w:name="_Toc10792833"/>
      <w:bookmarkStart w:id="121" w:name="_Toc10817309"/>
      <w:bookmarkStart w:id="122" w:name="_Toc13481624"/>
      <w:bookmarkStart w:id="123" w:name="_Toc13559310"/>
      <w:bookmarkStart w:id="124" w:name="_Toc13651196"/>
      <w:bookmarkStart w:id="125" w:name="_Toc14429163"/>
      <w:r>
        <w:t>Formuły (algorytmy) i walid</w:t>
      </w:r>
      <w:r>
        <w:t xml:space="preserve">acje (reguły poprawności) </w:t>
      </w:r>
      <w:bookmarkEnd w:id="104"/>
      <w:bookmarkEnd w:id="105"/>
      <w:bookmarkEnd w:id="106"/>
      <w:bookmarkEnd w:id="107"/>
      <w:bookmarkEnd w:id="108"/>
      <w:bookmarkEnd w:id="109"/>
      <w:bookmarkEnd w:id="110"/>
      <w:r>
        <w:t>spotykane we wnioskach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D814B8" w:rsidRDefault="0053412E">
      <w:pPr>
        <w:pStyle w:val="Nagwek3"/>
        <w:keepNext w:val="0"/>
        <w:keepLines w:val="0"/>
        <w:widowControl w:val="0"/>
        <w:spacing w:before="0"/>
      </w:pPr>
      <w:bookmarkStart w:id="126" w:name="_Toc500247256"/>
      <w:bookmarkStart w:id="127" w:name="_Toc500339102"/>
      <w:bookmarkStart w:id="128" w:name="_Toc500423439"/>
      <w:bookmarkStart w:id="129" w:name="_Toc500505031"/>
      <w:bookmarkStart w:id="130" w:name="_Toc500768212"/>
      <w:bookmarkStart w:id="131" w:name="_Toc500853276"/>
      <w:bookmarkStart w:id="132" w:name="_Toc8914891"/>
      <w:bookmarkStart w:id="133" w:name="_Toc9422409"/>
      <w:bookmarkStart w:id="134" w:name="_Toc9505021"/>
      <w:bookmarkStart w:id="135" w:name="_Toc9594603"/>
      <w:bookmarkStart w:id="136" w:name="_Toc9866917"/>
      <w:bookmarkStart w:id="137" w:name="_Toc9924621"/>
      <w:bookmarkStart w:id="138" w:name="_Toc10015004"/>
      <w:bookmarkStart w:id="139" w:name="_Toc10556761"/>
      <w:bookmarkStart w:id="140" w:name="_Toc10640662"/>
      <w:bookmarkStart w:id="141" w:name="_Toc10737188"/>
      <w:bookmarkStart w:id="142" w:name="_Toc10792834"/>
      <w:bookmarkStart w:id="143" w:name="_Toc10817310"/>
      <w:bookmarkStart w:id="144" w:name="_Toc13481625"/>
      <w:bookmarkStart w:id="145" w:name="_Toc13559311"/>
      <w:bookmarkStart w:id="146" w:name="_Toc13651197"/>
      <w:bookmarkStart w:id="147" w:name="_Toc14429164"/>
      <w:r>
        <w:t>Formuły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D814B8" w:rsidRDefault="0053412E">
      <w:pPr>
        <w:widowControl w:val="0"/>
        <w:spacing w:before="240" w:after="120"/>
        <w:jc w:val="both"/>
      </w:pPr>
      <w:r>
        <w:t>W wielu miejscach we wnioskach wstawione zostały formuły (algorytmy), których zadaniem jest „pilnowanie” albo „podpowiadanie” właściwego wyniku obliczeń lub poprawnej odpowiedzi. Jednak pola zawieraj</w:t>
      </w:r>
      <w:r>
        <w:t>ące zdefiniowane formuły (oznaczone we wnioskach różowym wypełnieniem) – w większości przypadków – nie zostały zablokowane. Oznacza to, że można (celowo) zignorować wartości obliczone lub wstawione automatycznie i zastąpić je wpisanymi „z ręki”, własnymi d</w:t>
      </w:r>
      <w:r>
        <w:t>anymi. Przy wejściu do takiego pola wyświetla się specjalny komunikat, jak w podanych niżej przykładach.</w:t>
      </w:r>
    </w:p>
    <w:tbl>
      <w:tblPr>
        <w:tblW w:w="1053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7"/>
        <w:gridCol w:w="5143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43848" cy="765654"/>
                  <wp:effectExtent l="0" t="0" r="0" b="0"/>
                  <wp:docPr id="13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48" cy="76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B8" w:rsidRDefault="0053412E">
            <w:pPr>
              <w:widowControl w:val="0"/>
              <w:spacing w:before="120" w:after="0"/>
            </w:pPr>
            <w:r>
              <w:rPr>
                <w:i/>
                <w:sz w:val="18"/>
                <w:szCs w:val="18"/>
                <w:lang w:eastAsia="pl-PL"/>
              </w:rPr>
              <w:t xml:space="preserve">Prościutka funkcja z „przejrzystym” komunikatem, która zabezpiecza przed udzieleniem pozytywnej odpowiedzi na oba – wzajemnie wykluczające się - </w:t>
            </w:r>
            <w:r>
              <w:rPr>
                <w:i/>
                <w:sz w:val="18"/>
                <w:szCs w:val="18"/>
                <w:lang w:eastAsia="pl-PL"/>
              </w:rPr>
              <w:t>pytania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b/>
                <w:i/>
                <w:sz w:val="16"/>
                <w:szCs w:val="16"/>
              </w:rPr>
              <w:t>Porada</w:t>
            </w:r>
            <w:r>
              <w:rPr>
                <w:i/>
                <w:sz w:val="16"/>
                <w:szCs w:val="16"/>
              </w:rPr>
              <w:t>: jeśli „okienko” komunikatu przeszkadza (np. zasłania jakiś istotny element wniosku) można je „przeciągnąć” poza obszar wniosku.</w:t>
            </w:r>
          </w:p>
          <w:p w:rsidR="00D814B8" w:rsidRDefault="0053412E">
            <w:pPr>
              <w:widowControl w:val="0"/>
              <w:spacing w:after="0"/>
              <w:jc w:val="center"/>
            </w:pPr>
            <w:r>
              <w:object w:dxaOrig="3831" w:dyaOrig="1168">
                <v:shape id="Picture 5" o:spid="_x0000_i1029" type="#_x0000_t75" style="width:191.4pt;height:58.2pt;visibility:visible;mso-wrap-style:square" o:ole="">
                  <v:imagedata r:id="rId143" o:title=""/>
                </v:shape>
                <o:OLEObject Type="Embed" ProgID="PBrush" ShapeID="Picture 5" DrawAspect="Content" ObjectID="_1631183960" r:id="rId144"/>
              </w:object>
            </w:r>
          </w:p>
          <w:p w:rsidR="00D814B8" w:rsidRDefault="0053412E">
            <w:pPr>
              <w:widowControl w:val="0"/>
              <w:spacing w:after="0"/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Prawym klawiszem myszy klikamy na okienku komunikatu i przeciągamy je w wybrane miejsce. </w:t>
            </w:r>
            <w:r>
              <w:rPr>
                <w:i/>
                <w:sz w:val="16"/>
                <w:szCs w:val="16"/>
              </w:rPr>
              <w:t>Niestety nie widać przesuwania się okienka – dopiero po puszczeniu klawisza myszy okienko pojawia się w nowym miejscu.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53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jc w:val="both"/>
              <w:rPr>
                <w:sz w:val="16"/>
                <w:szCs w:val="16"/>
                <w:lang w:eastAsia="pl-PL"/>
              </w:rPr>
            </w:pPr>
          </w:p>
        </w:tc>
        <w:tc>
          <w:tcPr>
            <w:tcW w:w="51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jc w:val="both"/>
              <w:rPr>
                <w:i/>
                <w:sz w:val="16"/>
                <w:szCs w:val="16"/>
              </w:rPr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9727" w:dyaOrig="2500">
                <v:shape id="Picture 6" o:spid="_x0000_i1030" type="#_x0000_t75" style="width:486.6pt;height:124.8pt;visibility:visible;mso-wrap-style:square" o:ole="">
                  <v:imagedata r:id="rId145" o:title=""/>
                </v:shape>
                <o:OLEObject Type="Embed" ProgID="PBrush" ShapeID="Picture 6" DrawAspect="Content" ObjectID="_1631183961" r:id="rId146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120" w:after="120"/>
              <w:jc w:val="both"/>
            </w:pPr>
            <w:r>
              <w:rPr>
                <w:i/>
                <w:sz w:val="18"/>
                <w:szCs w:val="18"/>
                <w:lang w:eastAsia="pl-PL"/>
              </w:rPr>
              <w:t xml:space="preserve">Powyżej przykład pola zawierającego trochę bardziej skomplikowaną formułę i standardowy (najczęściej spotykany) </w:t>
            </w:r>
            <w:r>
              <w:rPr>
                <w:i/>
                <w:sz w:val="18"/>
                <w:szCs w:val="18"/>
                <w:lang w:eastAsia="pl-PL"/>
              </w:rPr>
              <w:t>komunikat wyświetlany po aktywowaniu (wejściu do) „różowego” pola. Poniżej treść funkcji skopiowana z paska formuły.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10189" w:dyaOrig="272">
                <v:shape id="Picture 7" o:spid="_x0000_i1031" type="#_x0000_t75" style="width:509.4pt;height:13.8pt;visibility:visible;mso-wrap-style:square" o:ole="">
                  <v:imagedata r:id="rId147" o:title=""/>
                </v:shape>
                <o:OLEObject Type="Embed" ProgID="PBrush" ShapeID="Picture 7" DrawAspect="Content" ObjectID="_1631183962" r:id="rId148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120"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W skrócie chodzi o to, że jeśli limit pomocy dostępny w PROW 2014-20 będzie mniejszy niż suma pomocy już uzyskanej, to</w:t>
            </w:r>
            <w:r>
              <w:rPr>
                <w:i/>
                <w:sz w:val="18"/>
                <w:szCs w:val="18"/>
              </w:rPr>
              <w:t xml:space="preserve"> w polu zostanie wyświetlona informacja „Przekroczony limit pomocy” – jeśli nie, to funkcja podaje sumę kwot ze wszystkich pól 3.2.2.x</w:t>
            </w:r>
          </w:p>
        </w:tc>
      </w:tr>
    </w:tbl>
    <w:p w:rsidR="00D814B8" w:rsidRDefault="0053412E">
      <w:pPr>
        <w:widowControl w:val="0"/>
        <w:spacing w:before="240" w:after="0"/>
        <w:jc w:val="both"/>
      </w:pPr>
      <w:r>
        <w:t>Zgodnie z treścią komunikatu – w drugim z podanych przypadków – w „różowym” polu można:</w:t>
      </w:r>
    </w:p>
    <w:p w:rsidR="00D814B8" w:rsidRDefault="0053412E">
      <w:pPr>
        <w:pStyle w:val="Akapitzlist"/>
        <w:widowControl w:val="0"/>
        <w:numPr>
          <w:ilvl w:val="0"/>
          <w:numId w:val="2"/>
        </w:numPr>
        <w:spacing w:after="0"/>
        <w:jc w:val="both"/>
      </w:pPr>
      <w:r>
        <w:t xml:space="preserve">nie robić nic – formuła obliczy </w:t>
      </w:r>
      <w:r>
        <w:t>(zgodnie z podanym algorytmem) i wyświetli odpowiednie dane na podstawie wartości wpisanych w komórkach (polach) zdefiniowanych jako zakres danych tejże formuły</w:t>
      </w:r>
    </w:p>
    <w:p w:rsidR="00D814B8" w:rsidRDefault="0053412E">
      <w:pPr>
        <w:pStyle w:val="Akapitzlist"/>
        <w:widowControl w:val="0"/>
        <w:numPr>
          <w:ilvl w:val="0"/>
          <w:numId w:val="2"/>
        </w:numPr>
        <w:spacing w:after="120"/>
        <w:ind w:left="714" w:hanging="357"/>
        <w:jc w:val="both"/>
      </w:pPr>
      <w:r>
        <w:t>spróbować wpisać dane samodzielnie (być może wystąpią takie okoliczności, w których wartość obl</w:t>
      </w:r>
      <w:r>
        <w:t>iczona automatycznie nie będzie właściwa i zajdzie konieczność wprowadzenia danych „z ręki”). Jednak nie każde dane będzie dało się wpisać; w podanym wyżej przykładzie, w polu – oprócz formuły – zdefiniowano także reguły poprawności, widoczne na grafice po</w:t>
      </w:r>
      <w:r>
        <w:t xml:space="preserve">niżej (więcej o regułach w podpunkcie </w:t>
      </w:r>
      <w:hyperlink r:id="rId149" w:history="1">
        <w:r>
          <w:rPr>
            <w:rStyle w:val="Hipercze"/>
          </w:rPr>
          <w:t>Wa</w:t>
        </w:r>
        <w:bookmarkStart w:id="148" w:name="_Hlt500319043"/>
        <w:r>
          <w:rPr>
            <w:rStyle w:val="Hipercze"/>
          </w:rPr>
          <w:t>l</w:t>
        </w:r>
        <w:bookmarkEnd w:id="148"/>
        <w:r>
          <w:rPr>
            <w:rStyle w:val="Hipercze"/>
          </w:rPr>
          <w:t>idacje</w:t>
        </w:r>
      </w:hyperlink>
      <w:r>
        <w:t>)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706630" cy="1926750"/>
            <wp:effectExtent l="0" t="0" r="8120" b="0"/>
            <wp:docPr id="14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630" cy="1926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numPr>
          <w:ilvl w:val="1"/>
          <w:numId w:val="3"/>
        </w:numPr>
        <w:spacing w:before="120" w:after="0"/>
        <w:ind w:left="1434" w:hanging="357"/>
        <w:jc w:val="both"/>
      </w:pPr>
      <w:r>
        <w:t>„Dozwolone: Dziesiętne” – oznacza, że w polu można wpisać tylko liczbę z ew. wartościami ułamkowymi</w:t>
      </w:r>
    </w:p>
    <w:p w:rsidR="00D814B8" w:rsidRDefault="0053412E">
      <w:pPr>
        <w:pStyle w:val="Akapitzlist"/>
        <w:widowControl w:val="0"/>
        <w:numPr>
          <w:ilvl w:val="1"/>
          <w:numId w:val="3"/>
        </w:numPr>
        <w:spacing w:after="0"/>
        <w:ind w:left="1434" w:hanging="357"/>
        <w:jc w:val="both"/>
      </w:pPr>
      <w:r>
        <w:t>„Wartości danych: między” – oznacza, że liczba musi mieścić się w przedziale</w:t>
      </w:r>
    </w:p>
    <w:p w:rsidR="00D814B8" w:rsidRDefault="0053412E">
      <w:pPr>
        <w:pStyle w:val="Akapitzlist"/>
        <w:widowControl w:val="0"/>
        <w:numPr>
          <w:ilvl w:val="1"/>
          <w:numId w:val="3"/>
        </w:numPr>
        <w:spacing w:after="0"/>
        <w:ind w:left="1434" w:hanging="357"/>
        <w:jc w:val="both"/>
      </w:pPr>
      <w:r>
        <w:t>„Minimum: 0” – oznacza, że przedział zaczyna się od 0 (zera)</w:t>
      </w:r>
    </w:p>
    <w:p w:rsidR="00D814B8" w:rsidRDefault="0053412E">
      <w:pPr>
        <w:pStyle w:val="Akapitzlist"/>
        <w:widowControl w:val="0"/>
        <w:numPr>
          <w:ilvl w:val="1"/>
          <w:numId w:val="3"/>
        </w:numPr>
        <w:spacing w:after="0"/>
        <w:ind w:left="1434" w:hanging="357"/>
        <w:jc w:val="both"/>
      </w:pPr>
      <w:r>
        <w:t xml:space="preserve">„Maksimum: =AB18” – oznacza, że przedział kończy się na wartości określonej w polu o adresie AB18 (kolumna AB, wiersz 18) czyli pkt. </w:t>
      </w:r>
      <w:r>
        <w:rPr>
          <w:i/>
        </w:rPr>
        <w:t>3.2.1 Limit pomocy na operację…</w:t>
      </w:r>
      <w:r>
        <w:t xml:space="preserve"> na formularzu wniosku o przyzn</w:t>
      </w:r>
      <w:r>
        <w:t>anie pomocy</w:t>
      </w:r>
    </w:p>
    <w:p w:rsidR="00D814B8" w:rsidRDefault="0053412E">
      <w:pPr>
        <w:widowControl w:val="0"/>
        <w:spacing w:before="120" w:after="120"/>
        <w:ind w:left="709"/>
        <w:jc w:val="both"/>
      </w:pPr>
      <w:r>
        <w:t>owe reguły „pilnują”, aby w walidowanym polu nie dało się wpisać nic ponad to, co zostało dozwolone – próba wpisania np. tekstu zamiast liczby, zakończy się zatem niepowodzeniem:</w:t>
      </w:r>
    </w:p>
    <w:p w:rsidR="00D814B8" w:rsidRDefault="0053412E">
      <w:pPr>
        <w:widowControl w:val="0"/>
        <w:spacing w:after="0"/>
        <w:ind w:left="709"/>
        <w:jc w:val="center"/>
      </w:pPr>
      <w:r>
        <w:rPr>
          <w:noProof/>
          <w:lang w:eastAsia="pl-PL"/>
        </w:rPr>
        <w:drawing>
          <wp:inline distT="0" distB="0" distL="0" distR="0">
            <wp:extent cx="5588017" cy="1141820"/>
            <wp:effectExtent l="0" t="0" r="0" b="1180"/>
            <wp:docPr id="15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17" cy="1141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Wingdings" w:eastAsia="Wingdings" w:hAnsi="Wingdings" w:cs="Wingdings"/>
        </w:rPr>
        <w:t></w:t>
      </w:r>
    </w:p>
    <w:p w:rsidR="00D814B8" w:rsidRDefault="0053412E">
      <w:pPr>
        <w:widowControl w:val="0"/>
        <w:spacing w:after="0"/>
        <w:ind w:left="709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W tym konkretnym przypadku treść komunikatu o błędzie wydaje </w:t>
      </w:r>
      <w:r>
        <w:rPr>
          <w:i/>
          <w:sz w:val="18"/>
          <w:szCs w:val="18"/>
        </w:rPr>
        <w:t xml:space="preserve">się odrobinę „nie na temat” – odnosi się bowiem do zakładanej z góry (przy „projektowaniu” formularza wniosku) sytuacji, w której podano niewłaściwą (zbyt wysoką) kwotę otrzymanej już pomocy. </w:t>
      </w:r>
    </w:p>
    <w:p w:rsidR="00D814B8" w:rsidRDefault="0053412E">
      <w:pPr>
        <w:pStyle w:val="Akapitzlist"/>
        <w:widowControl w:val="0"/>
        <w:numPr>
          <w:ilvl w:val="0"/>
          <w:numId w:val="2"/>
        </w:numPr>
        <w:spacing w:before="240" w:after="0"/>
        <w:jc w:val="both"/>
      </w:pPr>
      <w:r>
        <w:t>zmodyfikować (przerobić/poprawić) funkcję na inną/lepszą/bardzi</w:t>
      </w:r>
      <w:r>
        <w:t>ej odpowiadającą Państwa potrzebom lub pomysłowości; wybór tej ścieżki wymaga jednak odrobiny wiedzy „technicznej”, którą (jeśli jej nie posiadamy) posiąść możemy, korzystając np. z podanego we „</w:t>
      </w:r>
      <w:hyperlink r:id="rId152" w:history="1">
        <w:r>
          <w:rPr>
            <w:rStyle w:val="Hipercze"/>
          </w:rPr>
          <w:t>wst</w:t>
        </w:r>
        <w:bookmarkStart w:id="149" w:name="_Hlt13652217"/>
        <w:r>
          <w:rPr>
            <w:rStyle w:val="Hipercze"/>
          </w:rPr>
          <w:t>ę</w:t>
        </w:r>
        <w:bookmarkStart w:id="150" w:name="_Hlt9409919"/>
        <w:bookmarkEnd w:id="149"/>
        <w:r>
          <w:rPr>
            <w:rStyle w:val="Hipercze"/>
          </w:rPr>
          <w:t>p</w:t>
        </w:r>
        <w:bookmarkEnd w:id="150"/>
        <w:r>
          <w:rPr>
            <w:rStyle w:val="Hipercze"/>
          </w:rPr>
          <w:t>ie</w:t>
        </w:r>
      </w:hyperlink>
      <w:r>
        <w:t xml:space="preserve">” internetowego kursu Excel </w:t>
      </w:r>
      <w:r>
        <w:t>2013</w:t>
      </w:r>
    </w:p>
    <w:p w:rsidR="00D814B8" w:rsidRDefault="0053412E">
      <w:pPr>
        <w:widowControl w:val="0"/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5514115</wp:posOffset>
            </wp:positionH>
            <wp:positionV relativeFrom="paragraph">
              <wp:posOffset>905292</wp:posOffset>
            </wp:positionV>
            <wp:extent cx="1085850" cy="590546"/>
            <wp:effectExtent l="0" t="0" r="0" b="4"/>
            <wp:wrapTight wrapText="bothSides">
              <wp:wrapPolygon edited="0">
                <wp:start x="0" y="0"/>
                <wp:lineTo x="0" y="20926"/>
                <wp:lineTo x="21221" y="20926"/>
                <wp:lineTo x="21221" y="0"/>
                <wp:lineTo x="0" y="0"/>
              </wp:wrapPolygon>
            </wp:wrapTight>
            <wp:docPr id="16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90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W każdym z formularzy wniosków zdefiniowanych zostało od kilkunastu do kilkudziesięciu różnych funkcji, często połączonych z dodatkowymi walidacjami. Część z nich została opisana/wyjaśniona w „dymkach” pojawiających się przy wejściu do pola zawierają</w:t>
      </w:r>
      <w:r>
        <w:t>cego formułę, a część tylko wyróżniona („wyróżowiona”) w celu wzmożenia uwagi osoby wypełniającej formularz. Niezależnie od (opisanej i oznaczonej wyżej, jako a., b., lub c.) „ścieżki”, którą wybierzemy wypełniając różowe pole, możemy cofnąć dokonane zmian</w:t>
      </w:r>
      <w:r>
        <w:t>y (jeśli okażą się niepożądanymi lub przypadkowymi) korzystając z klawisza [Esc], kombinacji klawiszy [Ctrl]+[Z] lub polecenia „Cofnij” (granatowa strzałka skierowana w lewo) na pasku narzędzi „Szybki dostęp” nad „Wstążką”. W sytuacji „ostatecznej” można z</w:t>
      </w:r>
      <w:r>
        <w:t>amknąć formularz bez zapisywania zmian – jeśli jednak poziom wypełnienia wniosku będzie już mocno zaawansowany, to przy zamknięciu formularza bez zapisywania zmian wpisane informacje przepadną.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</w:rPr>
        <w:lastRenderedPageBreak/>
        <w:t>Uwaga!</w:t>
      </w:r>
      <w:r>
        <w:t xml:space="preserve"> Większość formuł zastosowanych w formularzach wniosków </w:t>
      </w:r>
      <w:r>
        <w:rPr>
          <w:b/>
        </w:rPr>
        <w:t>nie jest zabezpieczona</w:t>
      </w:r>
      <w:r>
        <w:t xml:space="preserve">. Oznacza to, że wartość obliczoną automatycznie można zastąpić wpisując „ręcznie” inną wartość. Jeżeli w danej komórce zdefiniowano zarówno formułę, jak i regułę poprawności, to pierwsza wykonywana jest formuła i wynik jej działania </w:t>
      </w:r>
      <w:r>
        <w:t>nie musi być zgodny z regułą poprawności. Jeżeli jednak „ręcznie” zastąpimy wartość wynikającą z formuły i wartość ta nie będzie spełniała reguły poprawności, to excel zgłosi błąd i nie pozowli wprowadzić nowej wartości do komórki/pola.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151" w:name="_Toc500339103"/>
      <w:bookmarkStart w:id="152" w:name="_Toc500423440"/>
      <w:bookmarkStart w:id="153" w:name="_Toc500505032"/>
      <w:bookmarkStart w:id="154" w:name="_Toc500768213"/>
      <w:bookmarkStart w:id="155" w:name="_Toc500853277"/>
      <w:bookmarkStart w:id="156" w:name="_Toc8914892"/>
      <w:bookmarkStart w:id="157" w:name="_Toc9422410"/>
      <w:bookmarkStart w:id="158" w:name="_Toc9505022"/>
      <w:bookmarkStart w:id="159" w:name="_Toc9594604"/>
      <w:bookmarkStart w:id="160" w:name="_Toc9866918"/>
      <w:bookmarkStart w:id="161" w:name="_Toc9924622"/>
      <w:bookmarkStart w:id="162" w:name="_Toc10015005"/>
      <w:bookmarkStart w:id="163" w:name="_Toc10556762"/>
      <w:bookmarkStart w:id="164" w:name="_Toc10640663"/>
      <w:bookmarkStart w:id="165" w:name="_Toc10737189"/>
      <w:bookmarkStart w:id="166" w:name="_Toc10792835"/>
      <w:bookmarkStart w:id="167" w:name="_Toc10817311"/>
      <w:bookmarkStart w:id="168" w:name="_Toc13481626"/>
      <w:bookmarkStart w:id="169" w:name="_Toc13559312"/>
      <w:bookmarkStart w:id="170" w:name="_Toc13651198"/>
      <w:bookmarkStart w:id="171" w:name="_Toc14429165"/>
      <w:bookmarkStart w:id="172" w:name="Walidacje"/>
      <w:r>
        <w:t>Walidacje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bookmarkEnd w:id="172"/>
    <w:p w:rsidR="00D814B8" w:rsidRDefault="0053412E">
      <w:pPr>
        <w:widowControl w:val="0"/>
        <w:spacing w:before="240" w:after="120"/>
        <w:jc w:val="both"/>
      </w:pPr>
      <w:r>
        <w:t xml:space="preserve">W karcie </w:t>
      </w:r>
      <w:r>
        <w:t>„Dane” na „Wstążce” znajduje się sekcja „Narzędzia danych”, a w niej polecenie „Poprawność danych”. Użycie tego niepozornego przycisku odpowiada za większość ograniczeń nałożonych na pola formularzy wniosków.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804681" cy="1625638"/>
            <wp:effectExtent l="0" t="0" r="5319" b="0"/>
            <wp:docPr id="17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681" cy="1625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after="120"/>
        <w:jc w:val="both"/>
      </w:pPr>
      <w:r>
        <w:t>Niestety – na zabezpieczonym (zahasłowanym) f</w:t>
      </w:r>
      <w:r>
        <w:t>ormularzu polecenie „Poprawność danych” jest nieaktywne – nie można go użyć – np. w celu zidentyfikowania lub zmiany zdefiniowanych reguł poprawności danych. Użytkownicy formularzy są zatem „skazani” na dostosowanie się do ograniczeń nałożonych w poszczegó</w:t>
      </w:r>
      <w:r>
        <w:t xml:space="preserve">lnych polach. Ogólnie można przyjąć, że owe ograniczenia wynikają z zasad opisanych w </w:t>
      </w:r>
      <w:r>
        <w:rPr>
          <w:i/>
        </w:rPr>
        <w:t>„Instrukcji wypełniania wniosku…”</w:t>
      </w:r>
      <w:r>
        <w:t>, jednak nie zawsze jest to zależność widoczna na pierwszy rzut oka. Dlatego niektóre walidowane pola (zwłaszcza te zawierające dodatkowe</w:t>
      </w:r>
      <w:r>
        <w:t xml:space="preserve"> formuły) zostały opatrzone „dymkiem”, wyświetlanym przy wejściu do pola oraz komunikatem, który wyświetla się w przypadku naruszenia reguły poprawności.</w:t>
      </w:r>
    </w:p>
    <w:tbl>
      <w:tblPr>
        <w:tblW w:w="104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2"/>
        <w:gridCol w:w="3503"/>
        <w:gridCol w:w="3461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1046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9442" w:dyaOrig="2133">
                <v:shape id="Picture 11" o:spid="_x0000_i1032" type="#_x0000_t75" style="width:472.2pt;height:106.8pt;visibility:visible;mso-wrap-style:square" o:ole="">
                  <v:imagedata r:id="rId155" o:title=""/>
                </v:shape>
                <o:OLEObject Type="Embed" ProgID="PBrush" ShapeID="Picture 11" DrawAspect="Content" ObjectID="_1631183963" r:id="rId156"/>
              </w:object>
            </w:r>
          </w:p>
          <w:p w:rsidR="00D814B8" w:rsidRDefault="0053412E">
            <w:pPr>
              <w:widowControl w:val="0"/>
              <w:spacing w:before="120" w:after="12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Przykład walidacji (grafika poniżej) połączonej z funkcją (grafika powyżej). Reguła</w:t>
            </w:r>
            <w:r>
              <w:rPr>
                <w:i/>
                <w:sz w:val="18"/>
                <w:szCs w:val="18"/>
              </w:rPr>
              <w:t xml:space="preserve"> dotyczy wartości, jaka ma zostać wstawiona do pola D10 w zależności od tego jaką wartość wybrano z listy w polu C10. W tłumaczeniu na język polski formuła brzmi (mniej więcej) tak: jeżeli w polu C10 wybrano z listy wartość „ND”, to funkcja ma wprowadzić d</w:t>
            </w:r>
            <w:r>
              <w:rPr>
                <w:i/>
                <w:sz w:val="18"/>
                <w:szCs w:val="18"/>
              </w:rPr>
              <w:t>o pola D10 wartość „0” (zero) – w każdym innym przypadku funkcja nie wprowadzi do pola D10 niczego – będzie to musiał zrobić własnoręcznie użytkownik.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35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object w:dxaOrig="3301" w:dyaOrig="2731">
                <v:shape id="Picture 8" o:spid="_x0000_i1033" type="#_x0000_t75" style="width:165pt;height:136.8pt;visibility:visible;mso-wrap-style:square" o:ole="">
                  <v:imagedata r:id="rId157" o:title=""/>
                </v:shape>
                <o:OLEObject Type="Embed" ProgID="PBrush" ShapeID="Picture 8" DrawAspect="Content" ObjectID="_1631183964" r:id="rId158"/>
              </w:object>
            </w:r>
            <w:r>
              <w:rPr>
                <w:i/>
                <w:sz w:val="18"/>
                <w:szCs w:val="18"/>
              </w:rPr>
              <w:t xml:space="preserve"> Walidacja natomiast ogranicza nieco inwencję użytkownika „mówiąc”, że możesz wpisać </w:t>
            </w:r>
            <w:r>
              <w:rPr>
                <w:i/>
                <w:sz w:val="18"/>
                <w:szCs w:val="18"/>
              </w:rPr>
              <w:t>co chcesz, pod warunkiem, że będzie to liczba całkowita, większa albo równa „0”.</w:t>
            </w:r>
          </w:p>
        </w:tc>
        <w:tc>
          <w:tcPr>
            <w:tcW w:w="35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object w:dxaOrig="3301" w:dyaOrig="2731">
                <v:shape id="Picture 9" o:spid="_x0000_i1034" type="#_x0000_t75" style="width:165pt;height:136.8pt;visibility:visible;mso-wrap-style:square" o:ole="">
                  <v:imagedata r:id="rId159" o:title=""/>
                </v:shape>
                <o:OLEObject Type="Embed" ProgID="PBrush" ShapeID="Picture 9" DrawAspect="Content" ObjectID="_1631183965" r:id="rId160"/>
              </w:object>
            </w:r>
            <w:r>
              <w:rPr>
                <w:i/>
                <w:sz w:val="18"/>
                <w:szCs w:val="18"/>
              </w:rPr>
              <w:t>„Komunikat wejściowy”, wyświetlany gdy zaznaczona jest komórka (pole) D10, uprzejmie informuje, jak należy postąpić w tym konkretnym przypadku.</w:t>
            </w:r>
          </w:p>
        </w:tc>
        <w:tc>
          <w:tcPr>
            <w:tcW w:w="34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object w:dxaOrig="3260" w:dyaOrig="2717">
                <v:shape id="Picture 10" o:spid="_x0000_i1035" type="#_x0000_t75" style="width:163.2pt;height:135.6pt;visibility:visible;mso-wrap-style:square" o:ole="">
                  <v:imagedata r:id="rId161" o:title=""/>
                </v:shape>
                <o:OLEObject Type="Embed" ProgID="PBrush" ShapeID="Picture 10" DrawAspect="Content" ObjectID="_1631183966" r:id="rId162"/>
              </w:object>
            </w:r>
            <w:r>
              <w:rPr>
                <w:i/>
                <w:sz w:val="18"/>
                <w:szCs w:val="18"/>
              </w:rPr>
              <w:t>„Alert o błędzie” zostanie wyświetlony tylko w przypadku, jeśli wartość wprowadzana do pola naruszy zakres reguły ustalony w „Ustawieniach”.</w:t>
            </w:r>
            <w:r>
              <w:rPr>
                <w:rStyle w:val="Odwoanieprzypisudolnego"/>
                <w:i/>
                <w:sz w:val="18"/>
                <w:szCs w:val="18"/>
              </w:rPr>
              <w:footnoteReference w:id="1"/>
            </w:r>
          </w:p>
        </w:tc>
      </w:tr>
    </w:tbl>
    <w:p w:rsidR="00D814B8" w:rsidRDefault="0053412E">
      <w:pPr>
        <w:widowControl w:val="0"/>
        <w:spacing w:before="240" w:after="0"/>
        <w:jc w:val="both"/>
      </w:pPr>
      <w:r>
        <w:lastRenderedPageBreak/>
        <w:t>Poniżej opisano różne rodzaje walidacji, których użyto, i które napotkają Państwo we wniosk</w:t>
      </w:r>
      <w:r>
        <w:t>ach: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120"/>
        <w:ind w:hanging="357"/>
        <w:jc w:val="both"/>
      </w:pPr>
      <w:r>
        <w:t xml:space="preserve">Dowolna wartość – to właściwie nie jest żadne kryterium poprawności, tylko domyślna właściwość każdego niewalidowanego pola; mimo tego wykorzystywana do umieszczania w „Komunikacie wejściowym” mini-instrukcji, wyświetlanych po kliknięciu w polach </w:t>
      </w:r>
      <w:r>
        <w:t xml:space="preserve">(znajdujących się najczęściej poza obszarem wydruku /w szarych polach poza „białym” formularzem/) z tekstem np.: </w:t>
      </w:r>
      <w:r>
        <w:rPr>
          <w:i/>
        </w:rPr>
        <w:t>„Jak dodać wiersz?”</w:t>
      </w:r>
      <w:r>
        <w:t xml:space="preserve">, </w:t>
      </w:r>
      <w:r>
        <w:rPr>
          <w:i/>
        </w:rPr>
        <w:t>„Jak uzupełnić formułę?”</w:t>
      </w:r>
    </w:p>
    <w:p w:rsidR="00D814B8" w:rsidRDefault="0053412E">
      <w:pPr>
        <w:widowControl w:val="0"/>
        <w:spacing w:after="0"/>
        <w:ind w:left="363"/>
        <w:jc w:val="center"/>
      </w:pPr>
      <w:r>
        <w:rPr>
          <w:noProof/>
          <w:lang w:eastAsia="pl-PL"/>
        </w:rPr>
        <w:drawing>
          <wp:inline distT="0" distB="0" distL="0" distR="0">
            <wp:extent cx="3827522" cy="833850"/>
            <wp:effectExtent l="0" t="0" r="1528" b="4350"/>
            <wp:docPr id="18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522" cy="833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Pełna liczba – oznacza, że w polu można wpisać tylko liczbę całkowitą z wybranego zakresu: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między – od… do…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nie między – wszystkie oprócz…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równa – tylko jedna jedyna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nierówna – wszystkie oprócz tej jednej jedynej…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większa niż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mniejsza niż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większa lub równa</w:t>
      </w:r>
    </w:p>
    <w:p w:rsidR="00D814B8" w:rsidRDefault="0053412E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mniejsza niż lub równa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Dziesiętne – oznacza, że w polu można wpisać liczbę z możliwością o</w:t>
      </w:r>
      <w:r>
        <w:t>kreślenia także wartości ułamkowych (po przecinku) – kryteria zakresu są identyczne, jak w przypadku „Pełnej liczby” (patrz wyżej)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Lista – pozwala stworzyć rozwijalną listę zdefiniowanych wartości, spośród których będzie można wybrać tę, która zostanie wst</w:t>
      </w:r>
      <w:r>
        <w:t>awiona do pola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Data – pozwala zastosować takie same kryteria (zakres), jak w liczbach, tyle, że odnoszące się do dat; ważne jest to, że walidacja ta „czerpie” format daty wprost z systemu operacyjnego i dlatego tak ważne jest aby ustawić (dodać) do „Region</w:t>
      </w:r>
      <w:r>
        <w:t xml:space="preserve">u” polski urzędowy format daty krótkiej </w:t>
      </w:r>
      <w:hyperlink r:id="rId164" w:history="1">
        <w:r>
          <w:rPr>
            <w:rStyle w:val="Hipercze"/>
          </w:rPr>
          <w:t>Jak zmienić format…</w:t>
        </w:r>
      </w:hyperlink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Godzina – niezastosowana we wnioskach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Długość tekstu – pozwala określić jak długi ciąg znaków (liter lub cyfr /traktowanych jako tekst/) można wpisać w w</w:t>
      </w:r>
      <w:r>
        <w:t>alidowanym polu (np. pojedyncze cyfry w 10 polach składających się na nr NIP /we wnioskach dla poddziałania 19.2/ albo zawsze 10 i tylko 10 znaków w polu nr NIP /we wnioskach dla poddziałaniu 19.3/)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Niestandardowe –niezastosowane we wnioskach</w:t>
      </w:r>
    </w:p>
    <w:p w:rsidR="00D814B8" w:rsidRDefault="0053412E">
      <w:pPr>
        <w:widowControl w:val="0"/>
        <w:spacing w:before="120" w:after="0"/>
        <w:jc w:val="both"/>
      </w:pPr>
      <w:r>
        <w:t>Z jakim rodza</w:t>
      </w:r>
      <w:r>
        <w:t>jem walidacji będziecie mieli Państwo akurat do czynienia, najczęściej okaże się w momencie wyświetlenia „Komunikatu wejściowego”, czyli „dymku” informującego o pożądanej/możliwej/oczekiwanej wartości w danym polu. Czasem zdarzy się, że dopiero „Alert o bł</w:t>
      </w:r>
      <w:r>
        <w:t>ędzie” będzie sygnałem, że naruszono reguły. Poniżej kilka komunikatów, z którymi mogą się Państwo spotkać: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pojedynczą cyfrę - w zakresie od 0 do 9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pojedynczą cyfrę - w zakresie od 0 do 3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</w:t>
      </w:r>
      <w:r>
        <w:t>lu można wpisać tylko pojedynczą cyfrę - w zakresie od 0 do 1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liczbę całkowitą - równą lub większą od 0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liczbę - równą lub większą od 0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pojedynczą literę lub cyfrę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 xml:space="preserve">W </w:t>
      </w:r>
      <w:r>
        <w:t>tym polu należy wpisać co najmniej jeden znak - może to być np. "-" (jeśli jest to uzasadnione)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znak "X"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datę (w formacie dd-mm-rrrr - dwucyfrowe oznaczenia dnia i miesiąca oraz czterocyfrowe ozna</w:t>
      </w:r>
      <w:r>
        <w:t xml:space="preserve">czenie roku) większą (późniejszą) niż __-__-____ </w:t>
      </w:r>
      <w:r>
        <w:rPr>
          <w:i/>
        </w:rPr>
        <w:t>(ta walidacja nie zadziała poprawnie, jeśli formatem daty krótkiej będzie unijna data urzędowa)</w:t>
      </w:r>
    </w:p>
    <w:p w:rsidR="00D814B8" w:rsidRDefault="0053412E">
      <w:pPr>
        <w:widowControl w:val="0"/>
        <w:spacing w:before="120" w:after="0"/>
        <w:ind w:left="6"/>
        <w:jc w:val="both"/>
      </w:pPr>
      <w:r>
        <w:t>Może się zdarzyć, że spotkają się Państwo z komunikatem:</w:t>
      </w:r>
    </w:p>
    <w:p w:rsidR="00D814B8" w:rsidRDefault="0053412E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bookmarkStart w:id="173" w:name="_Toc500247257"/>
      <w:r>
        <w:t>Wprowadzona wartość jest nieprawidłowa. Użytkownik ogr</w:t>
      </w:r>
      <w:r>
        <w:t>aniczył wartości, które mogą być wprowadzone w tej komórce.</w:t>
      </w:r>
    </w:p>
    <w:p w:rsidR="00D814B8" w:rsidRDefault="0053412E">
      <w:pPr>
        <w:widowControl w:val="0"/>
        <w:spacing w:before="240" w:after="0"/>
        <w:ind w:left="3"/>
        <w:jc w:val="both"/>
      </w:pPr>
      <w:r>
        <w:t>Oznacza to, że ustalone zostały jakieś kryteria poprawności, ale nie został zredagowany dedykowany komunikat, który mógłby sugerować czego oczekujemy w danym przypadku. Jest szansa, że lektura „In</w:t>
      </w:r>
      <w:r>
        <w:t xml:space="preserve">strukcji wypełniania wniosku…” oraz niniejszych </w:t>
      </w:r>
      <w:r>
        <w:rPr>
          <w:i/>
        </w:rPr>
        <w:t xml:space="preserve">„Wskazówek…” </w:t>
      </w:r>
      <w:r>
        <w:t xml:space="preserve">może rozwiać wątpliwości – jeśli jednak tak się nie stanie, proszę nie wahać się z przesyłaniem zapytań lub próśb o udzielenie wyjaśnienia na adres: </w:t>
      </w:r>
      <w:hyperlink r:id="rId165" w:history="1">
        <w:r>
          <w:rPr>
            <w:rStyle w:val="Hipercze"/>
          </w:rPr>
          <w:t>tadeusz.korobkow@arimr.gov.pl</w:t>
        </w:r>
      </w:hyperlink>
      <w:r>
        <w:t>.</w:t>
      </w:r>
    </w:p>
    <w:p w:rsidR="00D814B8" w:rsidRDefault="0053412E">
      <w:pPr>
        <w:widowControl w:val="0"/>
        <w:spacing w:before="240" w:after="0"/>
        <w:ind w:left="6"/>
        <w:jc w:val="both"/>
      </w:pPr>
      <w:r>
        <w:rPr>
          <w:b/>
        </w:rPr>
        <w:lastRenderedPageBreak/>
        <w:t>Uwaga!</w:t>
      </w:r>
      <w:r>
        <w:t xml:space="preserve"> Nawet na „zabezpieczonym” formularzu można „oszukać” regułę poprawności/walidację. Jak wspomniano wyżej, w chronionym arkuszu polecenie „Poprawność danych” jest nieaktywne, co oznacza, że reguły nie da się usun</w:t>
      </w:r>
      <w:r>
        <w:t>ąć, zmienić ani nawet „podejrzeć”. Jednak podobnie jak w przypadku formuły można ją „zastąpić”. By tego dokonać należy otworzyć pusty/nowy arkusz excela, zaznaczyć i skopiować (poprzez kombinację klawiszy [Ctrl]+[C]) dowolną komórkę, a następnie „wkleić” j</w:t>
      </w:r>
      <w:r>
        <w:t xml:space="preserve">ej zawartość (poprzez kombinację klawiszy [Ctrl]+[V]) do zawierającej regułę komórki na formularzu wniosku. Po takim zabiegu walidowana komórka nie jest już walidowana i można do niej wpisać dowolny ciąg znaków. Powyższy sposób działa tylko w przypadku </w:t>
      </w:r>
      <w:r>
        <w:rPr>
          <w:b/>
        </w:rPr>
        <w:t>nie</w:t>
      </w:r>
      <w:r>
        <w:rPr>
          <w:b/>
        </w:rPr>
        <w:t>zablokowanych</w:t>
      </w:r>
      <w:r>
        <w:t xml:space="preserve"> komórek.</w:t>
      </w:r>
    </w:p>
    <w:p w:rsidR="00D814B8" w:rsidRDefault="0053412E">
      <w:pPr>
        <w:pStyle w:val="Nagwek2"/>
        <w:keepNext w:val="0"/>
        <w:keepLines w:val="0"/>
        <w:widowControl w:val="0"/>
        <w:spacing w:before="240"/>
      </w:pPr>
      <w:bookmarkStart w:id="174" w:name="_Toc500339104"/>
      <w:bookmarkStart w:id="175" w:name="_Toc500423441"/>
      <w:bookmarkStart w:id="176" w:name="_Toc500505033"/>
      <w:bookmarkStart w:id="177" w:name="_Toc500768214"/>
      <w:bookmarkStart w:id="178" w:name="_Toc500853278"/>
      <w:bookmarkStart w:id="179" w:name="_Toc8914893"/>
      <w:bookmarkStart w:id="180" w:name="_Toc9422411"/>
      <w:bookmarkStart w:id="181" w:name="_Toc9505023"/>
      <w:bookmarkStart w:id="182" w:name="_Toc9594605"/>
      <w:bookmarkStart w:id="183" w:name="_Toc9866919"/>
      <w:bookmarkStart w:id="184" w:name="_Toc9924623"/>
      <w:bookmarkStart w:id="185" w:name="_Toc10015006"/>
      <w:bookmarkStart w:id="186" w:name="_Toc10556763"/>
      <w:bookmarkStart w:id="187" w:name="_Toc10640664"/>
      <w:bookmarkStart w:id="188" w:name="_Toc10737190"/>
      <w:bookmarkStart w:id="189" w:name="_Toc10792836"/>
      <w:bookmarkStart w:id="190" w:name="_Toc10817312"/>
      <w:bookmarkStart w:id="191" w:name="_Toc13481627"/>
      <w:bookmarkStart w:id="192" w:name="_Toc13559313"/>
      <w:bookmarkStart w:id="193" w:name="_Toc13651199"/>
      <w:bookmarkStart w:id="194" w:name="_Toc14429166"/>
      <w:r>
        <w:t>Uprawnienia i ograniczenia, wynikające z ochrony arkuszy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p w:rsidR="00D814B8" w:rsidRDefault="0053412E">
      <w:pPr>
        <w:widowControl w:val="0"/>
        <w:spacing w:before="240" w:after="0"/>
        <w:jc w:val="both"/>
      </w:pPr>
      <w:r>
        <w:t>Stworzenie funkcji, zdefiniowanie walidacji oraz możliwość zablokowania pojedynczych pól nie wyczerpują gamy ograniczeń, jakie można nałożyć na użytkowników formularzy. Wszelki</w:t>
      </w:r>
      <w:r>
        <w:t>e zabezpieczenia – na poziomie pól, arkuszy i całego skoroszytu – mają na celu ograniczenie ryzyka popełnienia błędów przy wypełnianiu wniosków, a w końcowym efekcie uniknięcia ewentualnych konsekwencji z tytułu braków lub nieprawidłowości w podanych infor</w:t>
      </w:r>
      <w:r>
        <w:t>macjach. Poniżej zamieszczono informację – wraz z uzasadnieniem – co zostało zablokowane lub udostępnione na poziomie zabezpieczeń całych arkuszy.</w:t>
      </w:r>
    </w:p>
    <w:tbl>
      <w:tblPr>
        <w:tblW w:w="103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9"/>
        <w:gridCol w:w="6608"/>
        <w:gridCol w:w="2259"/>
        <w:gridCol w:w="732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73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195" w:name="ZaznZabl"/>
            <w:bookmarkStart w:id="196" w:name="_Toc500423442"/>
            <w:bookmarkStart w:id="197" w:name="_Toc500505034"/>
            <w:bookmarkStart w:id="198" w:name="_Toc500768215"/>
            <w:bookmarkStart w:id="199" w:name="_Toc500853279"/>
            <w:bookmarkStart w:id="200" w:name="_Toc8914894"/>
            <w:bookmarkStart w:id="201" w:name="_Toc9422412"/>
            <w:bookmarkStart w:id="202" w:name="_Toc9505024"/>
            <w:bookmarkStart w:id="203" w:name="_Toc9594606"/>
            <w:bookmarkStart w:id="204" w:name="_Toc9866920"/>
            <w:bookmarkStart w:id="205" w:name="_Toc9924624"/>
            <w:bookmarkStart w:id="206" w:name="_Toc10015007"/>
            <w:bookmarkStart w:id="207" w:name="_Toc10556764"/>
            <w:bookmarkStart w:id="208" w:name="_Toc10640665"/>
            <w:bookmarkStart w:id="209" w:name="_Toc10737191"/>
            <w:bookmarkStart w:id="210" w:name="_Toc10792837"/>
            <w:bookmarkStart w:id="211" w:name="_Toc10817313"/>
            <w:bookmarkStart w:id="212" w:name="_Toc13481628"/>
            <w:bookmarkStart w:id="213" w:name="_Toc13559314"/>
            <w:bookmarkStart w:id="214" w:name="_Toc13651200"/>
            <w:bookmarkStart w:id="215" w:name="_Toc14429167"/>
            <w:r>
              <w:t xml:space="preserve">Zaznaczanie </w:t>
            </w:r>
            <w:bookmarkEnd w:id="195"/>
            <w:r>
              <w:t>zablokowanych komórek</w:t>
            </w:r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</w:p>
        </w:tc>
        <w:tc>
          <w:tcPr>
            <w:tcW w:w="29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3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 xml:space="preserve">Wszystkie pola zawierające informacje nieprzeznaczone do edycji </w:t>
            </w:r>
            <w:r>
              <w:t>(zmiany) zostały zablokowane, jednakże bez możliwości zaznaczania komórek zablokowanych nie dałoby się wyświetlić „Komunikatu wejściowego” (zawierającego np. mini-instrukcję), przypisanego do zablokowanego pola.</w:t>
            </w:r>
          </w:p>
          <w:p w:rsidR="00D814B8" w:rsidRDefault="0053412E">
            <w:pPr>
              <w:widowControl w:val="0"/>
              <w:spacing w:after="0"/>
              <w:ind w:left="1026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Czerwonym kolorem obwiedziono zaznaczoną, za</w:t>
            </w:r>
            <w:r>
              <w:rPr>
                <w:i/>
                <w:sz w:val="18"/>
                <w:szCs w:val="18"/>
              </w:rPr>
              <w:t>blokowaną komórkę, a zielonym „Komunikat wejściowy”, który wyświetla się dzięki „zezwoleniu” na zaznaczanie zablokowanych komórek.</w:t>
            </w:r>
          </w:p>
        </w:tc>
        <w:tc>
          <w:tcPr>
            <w:tcW w:w="29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</w:pPr>
            <w:r>
              <w:object w:dxaOrig="1970" w:dyaOrig="1698">
                <v:shape id="Picture 12" o:spid="_x0000_i1036" type="#_x0000_t75" style="width:98.4pt;height:85.2pt;visibility:visible;mso-wrap-style:square" o:ole="">
                  <v:imagedata r:id="rId166" o:title=""/>
                </v:shape>
                <o:OLEObject Type="Embed" ProgID="PBrush" ShapeID="Picture 12" DrawAspect="Content" ObjectID="_1631183967" r:id="rId167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4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</w:pPr>
          </w:p>
        </w:tc>
        <w:tc>
          <w:tcPr>
            <w:tcW w:w="8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</w:pPr>
            <w:r>
              <w:rPr>
                <w:b/>
                <w:i/>
                <w:sz w:val="18"/>
                <w:szCs w:val="18"/>
              </w:rPr>
              <w:t xml:space="preserve">Uwaga! </w:t>
            </w:r>
            <w:r>
              <w:rPr>
                <w:i/>
                <w:sz w:val="18"/>
                <w:szCs w:val="18"/>
              </w:rPr>
              <w:t>Przy próbie zmiany danych w zablokowanej komórce pojawi się okno ze standardowym komunikatem: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4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center"/>
            </w:pPr>
          </w:p>
        </w:tc>
        <w:tc>
          <w:tcPr>
            <w:tcW w:w="88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i/>
                <w:sz w:val="18"/>
                <w:szCs w:val="18"/>
              </w:rPr>
              <w:object w:dxaOrig="8300" w:dyaOrig="1671">
                <v:shape id="Picture 13" o:spid="_x0000_i1037" type="#_x0000_t75" style="width:415.2pt;height:83.4pt;visibility:visible;mso-wrap-style:square" o:ole="">
                  <v:imagedata r:id="rId168" o:title=""/>
                </v:shape>
                <o:OLEObject Type="Embed" ProgID="PBrush" ShapeID="Picture 13" DrawAspect="Content" ObjectID="_1631183968" r:id="rId169"/>
              </w:objec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center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4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  <w:tc>
          <w:tcPr>
            <w:tcW w:w="88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 xml:space="preserve">Jeśli taki komunikat wyświetli się w przypadku pola, które ewidentnie powinno być edytowalne, to znaczy, że popełniono błąd, który powinien być jak najszybciej poprawiony. Prosimy zatem o przesyłanie (na adres: </w:t>
            </w:r>
            <w:hyperlink r:id="rId170" w:history="1">
              <w:r>
                <w:rPr>
                  <w:rStyle w:val="Hipercze"/>
                  <w:i/>
                  <w:sz w:val="18"/>
                  <w:szCs w:val="18"/>
                </w:rPr>
                <w:t>tadeusz.korobkow@arimr.gov.pl</w:t>
              </w:r>
            </w:hyperlink>
            <w:r>
              <w:rPr>
                <w:i/>
                <w:sz w:val="18"/>
                <w:szCs w:val="18"/>
              </w:rPr>
              <w:t>) informacji o zauważonych błędach – będą one sukcesywnie usuwane z szablonów wniosków. W przypadku, gdy błąd zostanie „odkryty” we wniosku, który jest w stanie zaawansowanego</w:t>
            </w:r>
            <w:r>
              <w:rPr>
                <w:i/>
                <w:sz w:val="18"/>
                <w:szCs w:val="18"/>
              </w:rPr>
              <w:t xml:space="preserve"> wypełniania, nie ma potrzeby przepisywania danych na poprawiony szablon – istnieje możliwość przesłania częściowo wypełnionego wniosku, poprawienia błędów (we wzorze wniosku – nie w jego treści) i odesłania wniosku wolnego od błędów technicznych ale z zac</w:t>
            </w:r>
            <w:r>
              <w:rPr>
                <w:i/>
                <w:sz w:val="18"/>
                <w:szCs w:val="18"/>
              </w:rPr>
              <w:t>howanymi danymi, które Państwo wpisali.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3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216" w:name="_Toc500423443"/>
            <w:bookmarkStart w:id="217" w:name="_Toc500505035"/>
            <w:bookmarkStart w:id="218" w:name="_Toc500768216"/>
            <w:bookmarkStart w:id="219" w:name="_Toc500853280"/>
            <w:bookmarkStart w:id="220" w:name="_Toc8914895"/>
            <w:bookmarkStart w:id="221" w:name="_Toc9422413"/>
            <w:bookmarkStart w:id="222" w:name="_Toc9505025"/>
            <w:bookmarkStart w:id="223" w:name="_Toc9594607"/>
            <w:bookmarkStart w:id="224" w:name="_Toc9866921"/>
            <w:bookmarkStart w:id="225" w:name="_Toc9924625"/>
            <w:bookmarkStart w:id="226" w:name="_Toc10015008"/>
            <w:bookmarkStart w:id="227" w:name="_Toc10556765"/>
            <w:bookmarkStart w:id="228" w:name="_Toc10640666"/>
            <w:bookmarkStart w:id="229" w:name="_Toc10737192"/>
            <w:bookmarkStart w:id="230" w:name="_Toc10792838"/>
            <w:bookmarkStart w:id="231" w:name="_Toc10817314"/>
            <w:bookmarkStart w:id="232" w:name="_Toc13481629"/>
            <w:bookmarkStart w:id="233" w:name="_Toc13559315"/>
            <w:bookmarkStart w:id="234" w:name="_Toc13651201"/>
            <w:bookmarkStart w:id="235" w:name="_Toc14429168"/>
            <w:bookmarkStart w:id="236" w:name="_Toc500247259"/>
            <w:bookmarkStart w:id="237" w:name="_Toc500339106"/>
            <w:bookmarkStart w:id="238" w:name="ZaznOdbl"/>
            <w:r>
              <w:t>Zaznaczanie odblokowanych komórek</w:t>
            </w:r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</w:p>
        </w:tc>
        <w:tc>
          <w:tcPr>
            <w:tcW w:w="29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bookmarkStart w:id="239" w:name="_Toc500247260"/>
            <w:bookmarkStart w:id="240" w:name="_Toc500339107"/>
            <w:bookmarkStart w:id="241" w:name="FormatKom"/>
            <w:bookmarkEnd w:id="236"/>
            <w:bookmarkEnd w:id="237"/>
            <w:bookmarkEnd w:id="238"/>
            <w:r>
              <w:t xml:space="preserve">Trudno powiedzieć jaki cel przyświecał programistom z Microsoft’u, którzy stworzyli możliwość wyłączenia zaznaczania odblokowanych komórek – wydaje się bowiem, że bez </w:t>
            </w:r>
            <w:r>
              <w:t>możliwości zaznaczenia komórki nie jest możliwym także jej edycja (wprowadzenie weń danych). Nie zmienia to jednak faktu, że w formularzach wniosków można zaznaczać (i edytować) odblokowane komórki.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7390" w:dyaOrig="965">
                <v:shape id="Picture 14" o:spid="_x0000_i1038" type="#_x0000_t75" style="width:369.6pt;height:48pt;visibility:visible;mso-wrap-style:square" o:ole="">
                  <v:imagedata r:id="rId171" o:title=""/>
                </v:shape>
                <o:OLEObject Type="Embed" ProgID="PBrush" ShapeID="Picture 14" DrawAspect="Content" ObjectID="_1631183969" r:id="rId172"/>
              </w:object>
            </w:r>
          </w:p>
        </w:tc>
      </w:tr>
    </w:tbl>
    <w:p w:rsidR="00D814B8" w:rsidRDefault="0053412E">
      <w:pPr>
        <w:widowControl w:val="0"/>
        <w:spacing w:before="120" w:after="0"/>
      </w:pPr>
      <w:r>
        <w:t xml:space="preserve">Komórki można zaznaczać pojedynczo, </w:t>
      </w:r>
      <w:r>
        <w:t>kilka sąsiadujących ze sobą lub kilka (więcej niż jedną) niesąsiadujących ze sobą. Więcej na temat sposobu i celu zaznaczania wielu komórek w części „Formatowanie” poniżej.</w:t>
      </w:r>
    </w:p>
    <w:p w:rsidR="00D814B8" w:rsidRDefault="00D814B8">
      <w:bookmarkStart w:id="242" w:name="_Toc500423444"/>
      <w:bookmarkStart w:id="243" w:name="_Toc500505036"/>
      <w:bookmarkStart w:id="244" w:name="_Toc500768217"/>
      <w:bookmarkStart w:id="245" w:name="_Toc500853281"/>
      <w:bookmarkStart w:id="246" w:name="_Toc8914896"/>
      <w:bookmarkStart w:id="247" w:name="_Toc9422414"/>
      <w:bookmarkStart w:id="248" w:name="_Toc9505026"/>
      <w:bookmarkStart w:id="249" w:name="_Toc9594608"/>
      <w:bookmarkStart w:id="250" w:name="_Toc9866922"/>
      <w:bookmarkStart w:id="251" w:name="_Toc9924626"/>
      <w:bookmarkStart w:id="252" w:name="_Toc10015009"/>
      <w:bookmarkStart w:id="253" w:name="_Toc10556766"/>
      <w:bookmarkStart w:id="254" w:name="_Toc10640667"/>
      <w:bookmarkStart w:id="255" w:name="_Toc10737193"/>
      <w:bookmarkStart w:id="256" w:name="_Toc10792839"/>
      <w:bookmarkStart w:id="257" w:name="_Toc10817315"/>
      <w:bookmarkStart w:id="258" w:name="_Toc13481630"/>
      <w:bookmarkStart w:id="259" w:name="_Toc13559316"/>
    </w:p>
    <w:p w:rsidR="00D814B8" w:rsidRDefault="00D814B8">
      <w:bookmarkStart w:id="260" w:name="_Toc13651202"/>
    </w:p>
    <w:p w:rsidR="00D814B8" w:rsidRDefault="00D814B8">
      <w:bookmarkStart w:id="261" w:name="_Toc14429169"/>
    </w:p>
    <w:p w:rsidR="00000000" w:rsidRDefault="0053412E">
      <w:pPr>
        <w:spacing w:after="0"/>
        <w:rPr>
          <w:vanish/>
        </w:rPr>
      </w:pPr>
      <w:r>
        <w:br w:type="page"/>
      </w:r>
    </w:p>
    <w:tbl>
      <w:tblPr>
        <w:tblW w:w="10439" w:type="dxa"/>
        <w:tblInd w:w="-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77"/>
        <w:gridCol w:w="3325"/>
        <w:gridCol w:w="155"/>
        <w:gridCol w:w="516"/>
        <w:gridCol w:w="142"/>
        <w:gridCol w:w="2680"/>
        <w:gridCol w:w="142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7475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r>
              <w:t>Formatowanie komórek</w:t>
            </w:r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before="240" w:after="0"/>
              <w:jc w:val="right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120"/>
              <w:jc w:val="both"/>
            </w:pPr>
            <w:bookmarkStart w:id="262" w:name="_Toc500247261"/>
            <w:bookmarkStart w:id="263" w:name="_Toc500339108"/>
            <w:bookmarkStart w:id="264" w:name="FormatKol"/>
            <w:bookmarkEnd w:id="239"/>
            <w:bookmarkEnd w:id="240"/>
            <w:bookmarkEnd w:id="241"/>
            <w:r>
              <w:t>Można formatować komórkę (pojedynczą lub całą</w:t>
            </w:r>
            <w:r>
              <w:t xml:space="preserve"> grupę) korzystając z poleceń, dostępnych na karcie „Narzędzia główne” na „Wstążce”. Bardzo podobna karta dostępna jest w Word’zie i dlatego część poleceń (opcji formatowania) będzie Państwu doskonale znana. 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before="240" w:after="12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i/>
                <w:sz w:val="18"/>
                <w:szCs w:val="18"/>
              </w:rPr>
              <w:object w:dxaOrig="9958" w:dyaOrig="1752">
                <v:shape id="Picture 15" o:spid="_x0000_i1039" type="#_x0000_t75" style="width:498pt;height:87.6pt;visibility:visible;mso-wrap-style:square" o:ole="">
                  <v:imagedata r:id="rId173" o:title=""/>
                </v:shape>
                <o:OLEObject Type="Embed" ProgID="PBrush" ShapeID="Picture 15" DrawAspect="Content" ObjectID="_1631183970" r:id="rId174"/>
              </w:object>
            </w:r>
          </w:p>
          <w:p w:rsidR="00D814B8" w:rsidRDefault="0053412E">
            <w:pPr>
              <w:widowControl w:val="0"/>
              <w:spacing w:after="0"/>
            </w:pPr>
            <w:r>
              <w:rPr>
                <w:i/>
                <w:sz w:val="18"/>
                <w:szCs w:val="18"/>
              </w:rPr>
              <w:t xml:space="preserve">Źródło: </w:t>
            </w:r>
            <w:hyperlink r:id="rId175" w:history="1">
              <w:r>
                <w:rPr>
                  <w:rStyle w:val="Hipercze"/>
                  <w:i/>
                  <w:sz w:val="18"/>
                  <w:szCs w:val="18"/>
                </w:rPr>
                <w:t>http://excelszkolenie.pl/Wstep.htm</w:t>
              </w:r>
            </w:hyperlink>
            <w:r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120" w:after="120"/>
              <w:jc w:val="both"/>
            </w:pPr>
            <w:r>
              <w:t>Karta „Narzędzia główne” została podzielona na kilka sekcji – w każdej z nich domyślnie umieszone zostały najczęściej używane polecenia. Żeby komórce (lub grupie komóre</w:t>
            </w:r>
            <w:r>
              <w:t>k) nadać/zmienić format należy ją (lub je) zaznaczyć, a następnie wybrać (kliknąć) potrzebne polecenie z karty „Narzędzia główne”.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before="120" w:after="12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3206" w:dyaOrig="285">
                <v:shape id="Picture 16" o:spid="_x0000_i1040" type="#_x0000_t75" style="width:160.2pt;height:14.4pt;visibility:visible;mso-wrap-style:square" o:ole="">
                  <v:imagedata r:id="rId176" o:title=""/>
                </v:shape>
                <o:OLEObject Type="Embed" ProgID="PBrush" ShapeID="Picture 16" DrawAspect="Content" ObjectID="_1631183971" r:id="rId177"/>
              </w:object>
            </w:r>
            <w:r>
              <w:t xml:space="preserve"> </w:t>
            </w:r>
            <w:r>
              <w:rPr>
                <w:i/>
                <w:sz w:val="18"/>
                <w:szCs w:val="18"/>
              </w:rPr>
              <w:t>klikając na komórkę, a następnie wybierając polecenie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3328" w:dyaOrig="1644">
                <v:shape id="Picture 19" o:spid="_x0000_i1041" type="#_x0000_t75" style="width:166.2pt;height:82.2pt;visibility:visible;mso-wrap-style:square" o:ole="">
                  <v:imagedata r:id="rId178" o:title=""/>
                </v:shape>
                <o:OLEObject Type="Embed" ProgID="PBrush" ShapeID="Picture 19" DrawAspect="Content" ObjectID="_1631183972" r:id="rId179"/>
              </w:object>
            </w:r>
          </w:p>
        </w:tc>
        <w:tc>
          <w:tcPr>
            <w:tcW w:w="340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3084" w:dyaOrig="516">
                <v:shape id="Picture 17" o:spid="_x0000_i1042" type="#_x0000_t75" style="width:154.2pt;height:25.8pt;visibility:visible;mso-wrap-style:square" o:ole="">
                  <v:imagedata r:id="rId180" o:title=""/>
                </v:shape>
                <o:OLEObject Type="Embed" ProgID="PBrush" ShapeID="Picture 17" DrawAspect="Content" ObjectID="_1631183973" r:id="rId181"/>
              </w:object>
            </w:r>
            <w:r>
              <w:t xml:space="preserve"> </w:t>
            </w:r>
            <w:r>
              <w:rPr>
                <w:i/>
                <w:sz w:val="18"/>
                <w:szCs w:val="18"/>
              </w:rPr>
              <w:t xml:space="preserve">(poprzez </w:t>
            </w:r>
            <w:r>
              <w:rPr>
                <w:i/>
                <w:sz w:val="18"/>
                <w:szCs w:val="18"/>
              </w:rPr>
              <w:t>kliknięcie i trzymanie cały czas wciśniętego klawisza myszy rozciągnięcie obszaru zaznaczania) zaznaczając kilka komórek, a następnie wybierając polecenie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3179" w:dyaOrig="2146">
                <v:shape id="Picture 20" o:spid="_x0000_i1043" type="#_x0000_t75" style="width:159pt;height:107.4pt;visibility:visible;mso-wrap-style:square" o:ole="">
                  <v:imagedata r:id="rId182" o:title=""/>
                </v:shape>
                <o:OLEObject Type="Embed" ProgID="PBrush" ShapeID="Picture 20" DrawAspect="Content" ObjectID="_1631183974" r:id="rId183"/>
              </w:object>
            </w:r>
          </w:p>
        </w:tc>
        <w:tc>
          <w:tcPr>
            <w:tcW w:w="349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3274" w:dyaOrig="693">
                <v:shape id="Picture 18" o:spid="_x0000_i1044" type="#_x0000_t75" style="width:163.8pt;height:34.8pt;visibility:visible;mso-wrap-style:square" o:ole="">
                  <v:imagedata r:id="rId184" o:title=""/>
                </v:shape>
                <o:OLEObject Type="Embed" ProgID="PBrush" ShapeID="Picture 18" DrawAspect="Content" ObjectID="_1631183975" r:id="rId185"/>
              </w:object>
            </w:r>
            <w:r>
              <w:t xml:space="preserve"> (</w:t>
            </w:r>
            <w:r>
              <w:rPr>
                <w:i/>
                <w:sz w:val="18"/>
                <w:szCs w:val="18"/>
              </w:rPr>
              <w:t>poprzez naciśnięcie i trzymanie cały czas wciśniętego klawisza</w:t>
            </w:r>
            <w:r>
              <w:rPr>
                <w:i/>
                <w:sz w:val="18"/>
                <w:szCs w:val="18"/>
              </w:rPr>
              <w:t xml:space="preserve"> [Ctrl] na klawiaturze, a następnie serię kliknięć myszką na wybranych polach) zaznaczając kilka komórek, i  wybierając polecenie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3274" w:dyaOrig="1997">
                <v:shape id="Picture 21" o:spid="_x0000_i1045" type="#_x0000_t75" style="width:163.8pt;height:99.6pt;visibility:visible;mso-wrap-style:square" o:ole="">
                  <v:imagedata r:id="rId186" o:title=""/>
                </v:shape>
                <o:OLEObject Type="Embed" ProgID="PBrush" ShapeID="Picture 21" DrawAspect="Content" ObjectID="_1631183976" r:id="rId187"/>
              </w:objec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120"/>
              <w:jc w:val="both"/>
            </w:pPr>
            <w:r>
              <w:t>Aby uzyskać dostęp do dodatkowych opcji poleceń albo do poleceń rzadziej używanych…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12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t xml:space="preserve">…należy rozwinąć </w:t>
            </w:r>
            <w:r>
              <w:t>listę wyboru znajdującą się na ikonce polecenia</w:t>
            </w:r>
          </w:p>
        </w:tc>
        <w:tc>
          <w:tcPr>
            <w:tcW w:w="3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t>… można także rozwinąć listę wyboru w nazwie sekcji na wstążce</w:t>
            </w:r>
          </w:p>
        </w:tc>
        <w:tc>
          <w:tcPr>
            <w:tcW w:w="348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t>…lub (klikając prawym klawiszem myszy w formatowanym polu) wywołać menu podręczne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2445" w:dyaOrig="3804">
                <v:shape id="Picture 22" o:spid="_x0000_i1046" type="#_x0000_t75" style="width:122.4pt;height:190.2pt;visibility:visible;mso-wrap-style:square" o:ole="">
                  <v:imagedata r:id="rId188" o:title=""/>
                </v:shape>
                <o:OLEObject Type="Embed" ProgID="PBrush" ShapeID="Picture 22" DrawAspect="Content" ObjectID="_1631183977" r:id="rId189"/>
              </w:object>
            </w:r>
          </w:p>
        </w:tc>
        <w:tc>
          <w:tcPr>
            <w:tcW w:w="3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2771" w:dyaOrig="3777">
                <v:shape id="Picture 23" o:spid="_x0000_i1047" type="#_x0000_t75" style="width:138.6pt;height:189pt;visibility:visible;mso-wrap-style:square" o:ole="">
                  <v:imagedata r:id="rId190" o:title=""/>
                </v:shape>
                <o:OLEObject Type="Embed" ProgID="PBrush" ShapeID="Picture 23" DrawAspect="Content" ObjectID="_1631183978" r:id="rId191"/>
              </w:object>
            </w:r>
          </w:p>
        </w:tc>
        <w:tc>
          <w:tcPr>
            <w:tcW w:w="348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2921" w:dyaOrig="3885">
                <v:shape id="Picture 24" o:spid="_x0000_i1048" type="#_x0000_t75" style="width:145.8pt;height:194.4pt;visibility:visible;mso-wrap-style:square" o:ole="">
                  <v:imagedata r:id="rId192" o:title=""/>
                </v:shape>
                <o:OLEObject Type="Embed" ProgID="PBrush" ShapeID="Picture 24" DrawAspect="Content" ObjectID="_1631183979" r:id="rId193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120"/>
              <w:jc w:val="both"/>
            </w:pPr>
            <w:r>
              <w:t>Zaznaczenie pojedynczej komórki (jak na pierwszym z rysunków poniżej) umożliwia formatowanie całej zawartości komórki. Jeżeli „aktywujemy” komórkę (dwukrotnie klikając prawym klawiszem myszki na zaznaczonej komórce /rysunek drugi/ lub jednokrotnie na pasku</w:t>
            </w:r>
            <w:r>
              <w:t xml:space="preserve"> formuły /rysunek trzeci/) możemy formatować pojedyncze (wybrane) fragmenty treści znajdującej się w komórce.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i/>
                <w:sz w:val="18"/>
                <w:szCs w:val="18"/>
              </w:rPr>
              <w:object w:dxaOrig="2921" w:dyaOrig="1630">
                <v:shape id="Picture 25" o:spid="_x0000_i1049" type="#_x0000_t75" style="width:145.8pt;height:81.6pt;visibility:visible;mso-wrap-style:square" o:ole="">
                  <v:imagedata r:id="rId194" o:title=""/>
                </v:shape>
                <o:OLEObject Type="Embed" ProgID="PBrush" ShapeID="Picture 25" DrawAspect="Content" ObjectID="_1631183980" r:id="rId195"/>
              </w:object>
            </w:r>
          </w:p>
        </w:tc>
        <w:tc>
          <w:tcPr>
            <w:tcW w:w="3480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i/>
                <w:sz w:val="18"/>
                <w:szCs w:val="18"/>
              </w:rPr>
              <w:object w:dxaOrig="2921" w:dyaOrig="1630">
                <v:shape id="Picture 26" o:spid="_x0000_i1050" type="#_x0000_t75" style="width:145.8pt;height:81.6pt;visibility:visible;mso-wrap-style:square" o:ole="">
                  <v:imagedata r:id="rId196" o:title=""/>
                </v:shape>
                <o:OLEObject Type="Embed" ProgID="PBrush" ShapeID="Picture 26" DrawAspect="Content" ObjectID="_1631183981" r:id="rId197"/>
              </w:object>
            </w:r>
          </w:p>
        </w:tc>
        <w:tc>
          <w:tcPr>
            <w:tcW w:w="3480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rPr>
                <w:i/>
                <w:sz w:val="18"/>
                <w:szCs w:val="18"/>
              </w:rPr>
              <w:object w:dxaOrig="3274" w:dyaOrig="1630">
                <v:shape id="Picture 27" o:spid="_x0000_i1051" type="#_x0000_t75" style="width:163.8pt;height:81.6pt;visibility:visible;mso-wrap-style:square" o:ole="">
                  <v:imagedata r:id="rId198" o:title=""/>
                </v:shape>
                <o:OLEObject Type="Embed" ProgID="PBrush" ShapeID="Picture 27" DrawAspect="Content" ObjectID="_1631183982" r:id="rId199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Jeżeli komórka jest tylko zaznaczona (nieaktywna) to wybrane formatowanie będzie </w:t>
            </w:r>
            <w:r>
              <w:rPr>
                <w:i/>
                <w:sz w:val="18"/>
                <w:szCs w:val="18"/>
              </w:rPr>
              <w:t>dotyczyło całej zawartości komórki – wszystkie znaki znajdujące się w komórce zostaną sformatowane w wybrany sposób.</w:t>
            </w:r>
          </w:p>
        </w:tc>
        <w:tc>
          <w:tcPr>
            <w:tcW w:w="6960" w:type="dxa"/>
            <w:gridSpan w:val="6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53412E">
            <w:pPr>
              <w:widowControl w:val="0"/>
              <w:spacing w:after="120"/>
              <w:jc w:val="both"/>
            </w:pPr>
            <w:r>
              <w:rPr>
                <w:i/>
                <w:sz w:val="18"/>
                <w:szCs w:val="18"/>
              </w:rPr>
              <w:t xml:space="preserve">Jeżeli komórka jest aktywna, to możemy wybrać różne formatowania dla poszczególnych fragmentów tekstu (wartości) zawartych w komórce. Nie </w:t>
            </w:r>
            <w:r>
              <w:rPr>
                <w:i/>
                <w:sz w:val="18"/>
                <w:szCs w:val="18"/>
              </w:rPr>
              <w:t>ma większego znaczenia, czy aktywujemy komórkę bezpośrednio, czy z poziomu paska formuły. Ważne żebyśmy wiedzieli gdzie jesteśmy – o czym informuje nas migająca pionowa kreseczka, zwana kursorem tekstu, znakiem zachęty albo promptem (to ta obwiedziona czer</w:t>
            </w:r>
            <w:r>
              <w:rPr>
                <w:i/>
                <w:sz w:val="18"/>
                <w:szCs w:val="18"/>
              </w:rPr>
              <w:t>wonym owalem na rysunkach powyżej). Położenie kursora tekstu wskazuje także miejsce, w którym wstawiony będzie kolejny znak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10202" w:dyaOrig="2146">
                <v:shape id="Picture 28" o:spid="_x0000_i1052" type="#_x0000_t75" style="width:510pt;height:107.4pt;visibility:visible;mso-wrap-style:square" o:ole="">
                  <v:imagedata r:id="rId200" o:title=""/>
                </v:shape>
                <o:OLEObject Type="Embed" ProgID="PBrush" ShapeID="Picture 28" DrawAspect="Content" ObjectID="_1631183983" r:id="rId201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>Ze względu na słabą widoczność zaznaczono czerwonymi owalami dwie cyfry w formacie „indeks górny” żeby pokazać,</w:t>
            </w:r>
            <w:r>
              <w:rPr>
                <w:i/>
                <w:sz w:val="18"/>
                <w:szCs w:val="18"/>
              </w:rPr>
              <w:t xml:space="preserve"> że tam są, i że w taki sposób sformatować fragment tekstu też się da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>Jak widać (na powyższym rysunku) da się zróżnicować formatowanie tekstu w ramach pojedynczej komórki. Aby sformatować wybrany fragment tekstu należy go zaznaczyć (w komórce lub na pasku</w:t>
            </w:r>
            <w:r>
              <w:t xml:space="preserve"> formuły) i na karcie narzędzi wybrać odpowiednie polecenie. Efekt formatowania będzie widoczny tylko w komórce – w pasku formuły format tekstu pozostanie niezmieniony.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265" w:name="_Toc500423445"/>
            <w:bookmarkStart w:id="266" w:name="_Toc500505037"/>
            <w:bookmarkStart w:id="267" w:name="_Toc500768218"/>
            <w:bookmarkStart w:id="268" w:name="_Toc500853282"/>
            <w:bookmarkStart w:id="269" w:name="_Toc8914897"/>
            <w:bookmarkStart w:id="270" w:name="_Toc9422415"/>
            <w:bookmarkStart w:id="271" w:name="_Toc9505027"/>
            <w:bookmarkStart w:id="272" w:name="_Toc9594609"/>
            <w:bookmarkStart w:id="273" w:name="_Toc9866923"/>
            <w:bookmarkStart w:id="274" w:name="_Toc9924627"/>
            <w:bookmarkStart w:id="275" w:name="_Toc10015010"/>
            <w:bookmarkStart w:id="276" w:name="_Toc10556767"/>
            <w:bookmarkStart w:id="277" w:name="_Toc10640668"/>
            <w:bookmarkStart w:id="278" w:name="_Toc10737194"/>
            <w:bookmarkStart w:id="279" w:name="_Toc10792840"/>
            <w:bookmarkStart w:id="280" w:name="_Toc10817316"/>
            <w:bookmarkStart w:id="281" w:name="_Toc13481631"/>
            <w:bookmarkStart w:id="282" w:name="_Toc13559317"/>
            <w:bookmarkStart w:id="283" w:name="_Toc13651203"/>
            <w:bookmarkStart w:id="284" w:name="_Toc14429170"/>
            <w:r>
              <w:t>Formatowanie kolumn</w:t>
            </w:r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bookmarkStart w:id="285" w:name="_Toc500247262"/>
            <w:bookmarkStart w:id="286" w:name="_Toc500339109"/>
            <w:bookmarkStart w:id="287" w:name="FormatWier"/>
            <w:bookmarkEnd w:id="262"/>
            <w:bookmarkEnd w:id="263"/>
            <w:bookmarkEnd w:id="264"/>
            <w:r>
              <w:t xml:space="preserve">Właściwie to to samo, co formatowanie grupy </w:t>
            </w:r>
            <w:r>
              <w:t>sąsiadujących ze sobą komórek (lub pojedynczej, nieaktywnej komórki) – z tą tylko różnicą, że wszystkie znajdują się w jednej kolumnie i wszystkie można zaznaczyć jednym kliknięciem myszki na nagłówku kolumny. „Kolumna” oznacza wszystkie pola w danym „pion</w:t>
            </w:r>
            <w:r>
              <w:t>ie” – także te, które znajdują się poza obszarem formularza, „zamkniętego” w granicach zdefiniowanego obszaru wydruku.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288" w:name="_Toc500423446"/>
            <w:bookmarkStart w:id="289" w:name="_Toc500505038"/>
            <w:bookmarkStart w:id="290" w:name="_Toc500768219"/>
            <w:bookmarkStart w:id="291" w:name="_Toc500853283"/>
            <w:bookmarkStart w:id="292" w:name="_Toc8914898"/>
            <w:bookmarkStart w:id="293" w:name="_Toc9422416"/>
            <w:bookmarkStart w:id="294" w:name="_Toc9505028"/>
            <w:bookmarkStart w:id="295" w:name="_Toc9594610"/>
            <w:bookmarkStart w:id="296" w:name="_Toc9866924"/>
            <w:bookmarkStart w:id="297" w:name="_Toc9924628"/>
            <w:bookmarkStart w:id="298" w:name="_Toc10015011"/>
            <w:bookmarkStart w:id="299" w:name="_Toc10556768"/>
            <w:bookmarkStart w:id="300" w:name="_Toc10640669"/>
            <w:bookmarkStart w:id="301" w:name="_Toc10737195"/>
            <w:bookmarkStart w:id="302" w:name="_Toc10792841"/>
            <w:bookmarkStart w:id="303" w:name="_Toc10817317"/>
            <w:bookmarkStart w:id="304" w:name="_Toc13481632"/>
            <w:bookmarkStart w:id="305" w:name="_Toc13559318"/>
            <w:bookmarkStart w:id="306" w:name="_Toc13651204"/>
            <w:bookmarkStart w:id="307" w:name="_Toc14429171"/>
            <w:r>
              <w:t>Formatowanie wierszy</w:t>
            </w:r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bookmarkEnd w:id="285"/>
      <w:bookmarkEnd w:id="286"/>
      <w:bookmarkEnd w:id="287"/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>Analogicznie, jak w przypadku formatowania kolumn – jednak w celu zaznaczenia komórek należy kliknąć nie</w:t>
            </w:r>
            <w:r>
              <w:t xml:space="preserve"> w pionie, a w poziomie i nie nagłówek kolumny, a numer wiersza.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08" w:name="_Toc500423447"/>
            <w:bookmarkStart w:id="309" w:name="_Toc500505039"/>
            <w:bookmarkStart w:id="310" w:name="_Toc500768220"/>
            <w:bookmarkStart w:id="311" w:name="_Toc500853284"/>
            <w:bookmarkStart w:id="312" w:name="_Toc8914899"/>
            <w:bookmarkStart w:id="313" w:name="_Toc9422417"/>
            <w:bookmarkStart w:id="314" w:name="_Toc9505029"/>
            <w:bookmarkStart w:id="315" w:name="_Toc9594611"/>
            <w:bookmarkStart w:id="316" w:name="_Toc9866925"/>
            <w:bookmarkStart w:id="317" w:name="_Toc9924629"/>
            <w:bookmarkStart w:id="318" w:name="_Toc10015012"/>
            <w:bookmarkStart w:id="319" w:name="_Toc10556769"/>
            <w:bookmarkStart w:id="320" w:name="_Toc10640670"/>
            <w:bookmarkStart w:id="321" w:name="_Toc10737196"/>
            <w:bookmarkStart w:id="322" w:name="_Toc10792842"/>
            <w:bookmarkStart w:id="323" w:name="_Toc10817318"/>
            <w:bookmarkStart w:id="324" w:name="_Toc13481633"/>
            <w:bookmarkStart w:id="325" w:name="_Toc13559319"/>
            <w:bookmarkStart w:id="326" w:name="_Toc13651205"/>
            <w:bookmarkStart w:id="327" w:name="_Toc14429172"/>
            <w:r>
              <w:t>Wstawianie kolumn</w:t>
            </w:r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niedozwolone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bookmarkStart w:id="328" w:name="_Toc500247263"/>
            <w:bookmarkStart w:id="329" w:name="_Toc500339110"/>
            <w:bookmarkStart w:id="330" w:name="WstawWier"/>
            <w:r>
              <w:t>Parafrazując Jego Wysokość Władysława Jagiełłę: „Kolumn ci we wnioskach dostatek…” – i dlatego we wszystkich formularzach wniosków zablokowano możliwość dodaw</w:t>
            </w:r>
            <w:r>
              <w:t>ania kolumn.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31" w:name="_Toc500423448"/>
            <w:bookmarkStart w:id="332" w:name="_Toc500505040"/>
            <w:bookmarkStart w:id="333" w:name="_Toc500768221"/>
            <w:bookmarkStart w:id="334" w:name="_Toc500853285"/>
            <w:bookmarkStart w:id="335" w:name="_Toc8914900"/>
            <w:bookmarkStart w:id="336" w:name="_Toc9422418"/>
            <w:bookmarkStart w:id="337" w:name="_Toc9505030"/>
            <w:bookmarkStart w:id="338" w:name="_Toc9594612"/>
            <w:bookmarkStart w:id="339" w:name="_Toc9866926"/>
            <w:bookmarkStart w:id="340" w:name="_Toc9924630"/>
            <w:bookmarkStart w:id="341" w:name="_Toc10015013"/>
            <w:bookmarkStart w:id="342" w:name="_Toc10556770"/>
            <w:bookmarkStart w:id="343" w:name="_Toc10640671"/>
            <w:bookmarkStart w:id="344" w:name="_Toc10737197"/>
            <w:bookmarkStart w:id="345" w:name="_Toc10792843"/>
            <w:bookmarkStart w:id="346" w:name="_Toc10817319"/>
            <w:bookmarkStart w:id="347" w:name="_Toc13481634"/>
            <w:bookmarkStart w:id="348" w:name="_Toc13559320"/>
            <w:bookmarkStart w:id="349" w:name="_Toc13651206"/>
            <w:bookmarkStart w:id="350" w:name="_Toc14429173"/>
            <w:r>
              <w:t>Wstawianie wierszy</w:t>
            </w:r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  <w:rPr>
                <w:color w:val="00B050"/>
              </w:rPr>
            </w:pPr>
            <w:r>
              <w:rPr>
                <w:color w:val="00B050"/>
              </w:rPr>
              <w:t>dozwolone</w:t>
            </w:r>
          </w:p>
        </w:tc>
      </w:tr>
    </w:tbl>
    <w:p w:rsidR="00D814B8" w:rsidRDefault="0053412E">
      <w:pPr>
        <w:widowControl w:val="0"/>
        <w:spacing w:before="240" w:after="120"/>
        <w:jc w:val="both"/>
      </w:pPr>
      <w:r>
        <w:t>Projektując szablon formularza wniosku nie da się przewidzieć wszystkich możliwych przypadków z jakimi przyjdzie się Państwu uporać. Przyjmując założenie o nieużywaniu makr w Excel’owych wnioskach, zrezygnowano z</w:t>
      </w:r>
      <w:r>
        <w:t xml:space="preserve"> automatyzacji niektórych czynności – takich jak np. dodawanie nowych wierszy (lub sekcji, lub nawet całych tabel) we wszystkich miejscach, gdzie taką możliwość przewiduje „Instrukcja wypełniania wniosku…”. Stąd w wielu miejscach we wnioskach znalazły się </w:t>
      </w:r>
      <w:r>
        <w:t xml:space="preserve">mini-instrukcje – np. „Jak dodać wiersz”, a część tabel „wyrzucono” do plików z </w:t>
      </w:r>
      <w:hyperlink r:id="rId202" w:history="1">
        <w:r>
          <w:rPr>
            <w:rStyle w:val="Hipercze"/>
          </w:rPr>
          <w:t>dodatko</w:t>
        </w:r>
        <w:bookmarkStart w:id="351" w:name="_Hlt9412245"/>
        <w:r>
          <w:rPr>
            <w:rStyle w:val="Hipercze"/>
          </w:rPr>
          <w:t>w</w:t>
        </w:r>
        <w:bookmarkEnd w:id="351"/>
        <w:r>
          <w:rPr>
            <w:rStyle w:val="Hipercze"/>
          </w:rPr>
          <w:t>y</w:t>
        </w:r>
        <w:bookmarkStart w:id="352" w:name="_Hlt13651975"/>
        <w:r>
          <w:rPr>
            <w:rStyle w:val="Hipercze"/>
          </w:rPr>
          <w:t>m</w:t>
        </w:r>
        <w:bookmarkEnd w:id="352"/>
        <w:r>
          <w:rPr>
            <w:rStyle w:val="Hipercze"/>
          </w:rPr>
          <w:t>i a</w:t>
        </w:r>
        <w:bookmarkStart w:id="353" w:name="_Hlt500838125"/>
        <w:r>
          <w:rPr>
            <w:rStyle w:val="Hipercze"/>
          </w:rPr>
          <w:t>r</w:t>
        </w:r>
        <w:bookmarkEnd w:id="353"/>
        <w:r>
          <w:rPr>
            <w:rStyle w:val="Hipercze"/>
          </w:rPr>
          <w:t>kuszami</w:t>
        </w:r>
      </w:hyperlink>
      <w:r>
        <w:t>. Jednak mini-instrukcje zamieszczone we wnioskach z konieczności są „mini” i mogą po prostu nie wystarczyć. Dlatego zamieszczo</w:t>
      </w:r>
      <w:r>
        <w:t>no poniżej przykłady ilustrujące sposób ich wykonania.</w:t>
      </w: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2"/>
        <w:gridCol w:w="8248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328"/>
          <w:bookmarkEnd w:id="329"/>
          <w:bookmarkEnd w:id="330"/>
          <w:p w:rsidR="00D814B8" w:rsidRDefault="0053412E">
            <w:pPr>
              <w:widowControl w:val="0"/>
              <w:spacing w:after="0"/>
              <w:ind w:right="-108"/>
              <w:jc w:val="both"/>
            </w:pPr>
            <w:r>
              <w:object w:dxaOrig="2038" w:dyaOrig="1617">
                <v:shape id="Picture 43" o:spid="_x0000_i1053" type="#_x0000_t75" style="width:102pt;height:81pt;visibility:visible;mso-wrap-style:square" o:ole="">
                  <v:imagedata r:id="rId203" o:title=""/>
                </v:shape>
                <o:OLEObject Type="Embed" ProgID="PBrush" ShapeID="Picture 43" DrawAspect="Content" ObjectID="_1631183984" r:id="rId204"/>
              </w:objec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798" w:dyaOrig="1617">
                <v:shape id="Picture 44" o:spid="_x0000_i1054" type="#_x0000_t75" style="width:390pt;height:81pt;visibility:visible;mso-wrap-style:square" o:ole="">
                  <v:imagedata r:id="rId205" o:title=""/>
                </v:shape>
                <o:OLEObject Type="Embed" ProgID="PBrush" ShapeID="Picture 44" DrawAspect="Content" ObjectID="_1631183985" r:id="rId206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7"/>
              <w:jc w:val="both"/>
            </w:pPr>
            <w:r>
              <w:rPr>
                <w:i/>
                <w:sz w:val="18"/>
                <w:szCs w:val="18"/>
              </w:rPr>
              <w:t>Wykonanie powyższej instrukcji powinno dać następujący efekt</w: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798" w:dyaOrig="910">
                <v:shape id="Picture 45" o:spid="_x0000_i1055" type="#_x0000_t75" style="width:390pt;height:45.6pt;visibility:visible;mso-wrap-style:square" o:ole="">
                  <v:imagedata r:id="rId207" o:title=""/>
                </v:shape>
                <o:OLEObject Type="Embed" ProgID="PBrush" ShapeID="Picture 45" DrawAspect="Content" ObjectID="_1631183986" r:id="rId208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34"/>
              <w:jc w:val="both"/>
            </w:pPr>
            <w:r>
              <w:object w:dxaOrig="2024" w:dyaOrig="1168">
                <v:shape id="Picture 46" o:spid="_x0000_i1056" type="#_x0000_t75" style="width:101.4pt;height:58.2pt;visibility:visible;mso-wrap-style:square" o:ole="">
                  <v:imagedata r:id="rId209" o:title=""/>
                </v:shape>
                <o:OLEObject Type="Embed" ProgID="PBrush" ShapeID="Picture 46" DrawAspect="Content" ObjectID="_1631183987" r:id="rId210"/>
              </w:objec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771" w:dyaOrig="1073">
                <v:shape id="Picture 47" o:spid="_x0000_i1057" type="#_x0000_t75" style="width:388.8pt;height:53.4pt;visibility:visible;mso-wrap-style:square" o:ole="">
                  <v:imagedata r:id="rId211" o:title=""/>
                </v:shape>
                <o:OLEObject Type="Embed" ProgID="PBrush" ShapeID="Picture 47" DrawAspect="Content" ObjectID="_1631183988" r:id="rId212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</w:p>
          <w:p w:rsidR="00D814B8" w:rsidRDefault="0053412E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„Przeciągnięcie” formatów z wiersza 23 </w:t>
            </w:r>
            <w:r>
              <w:rPr>
                <w:i/>
                <w:sz w:val="18"/>
                <w:szCs w:val="18"/>
              </w:rPr>
              <w:t>(3.2.2.4) do wiersza 24 powinno dać efekt jak na ilustracji obok.</w:t>
            </w:r>
          </w:p>
          <w:p w:rsidR="00D814B8" w:rsidRDefault="00D814B8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</w:p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 xml:space="preserve">Oczywiście w ten sposób można dodać więcej niż jeden wiersz i wszystko powinno zadziałać tak samo – trzeba tylko pamiętać o „zasadzie” klikania prawym klawiszem myszy w numer wiersza </w:t>
            </w:r>
            <w:r>
              <w:rPr>
                <w:b/>
                <w:i/>
                <w:sz w:val="18"/>
                <w:szCs w:val="18"/>
              </w:rPr>
              <w:t>wskaza</w:t>
            </w:r>
            <w:r>
              <w:rPr>
                <w:b/>
                <w:i/>
                <w:sz w:val="18"/>
                <w:szCs w:val="18"/>
              </w:rPr>
              <w:t>nego zieloną strzałką</w:t>
            </w:r>
            <w:r>
              <w:rPr>
                <w:i/>
                <w:sz w:val="18"/>
                <w:szCs w:val="18"/>
              </w:rPr>
              <w:t>.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rPr>
                <w:b/>
                <w:i/>
                <w:sz w:val="18"/>
                <w:szCs w:val="18"/>
              </w:rPr>
              <w:t xml:space="preserve">Uwaga! </w:t>
            </w:r>
            <w:r>
              <w:rPr>
                <w:i/>
                <w:sz w:val="18"/>
                <w:szCs w:val="18"/>
              </w:rPr>
              <w:t xml:space="preserve">Tak dodane wiersze (w razie potrzeby) można swobodnie usuwać. 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 xml:space="preserve">Natomiast jak ukrywać wiersze, których nie można usunąć opisano </w:t>
            </w:r>
            <w:hyperlink r:id="rId213" w:history="1">
              <w:r>
                <w:rPr>
                  <w:rStyle w:val="Hipercze"/>
                  <w:i/>
                  <w:sz w:val="18"/>
                  <w:szCs w:val="18"/>
                </w:rPr>
                <w:t>n</w:t>
              </w:r>
              <w:bookmarkStart w:id="354" w:name="_Hlt500837884"/>
              <w:r>
                <w:rPr>
                  <w:rStyle w:val="Hipercze"/>
                  <w:i/>
                  <w:sz w:val="18"/>
                  <w:szCs w:val="18"/>
                </w:rPr>
                <w:t>i</w:t>
              </w:r>
              <w:bookmarkEnd w:id="354"/>
              <w:r>
                <w:rPr>
                  <w:rStyle w:val="Hipercze"/>
                  <w:i/>
                  <w:sz w:val="18"/>
                  <w:szCs w:val="18"/>
                </w:rPr>
                <w:t>ż</w:t>
              </w:r>
              <w:bookmarkStart w:id="355" w:name="_Hlt500837747"/>
              <w:r>
                <w:rPr>
                  <w:rStyle w:val="Hipercze"/>
                  <w:i/>
                  <w:sz w:val="18"/>
                  <w:szCs w:val="18"/>
                </w:rPr>
                <w:t>e</w:t>
              </w:r>
              <w:bookmarkEnd w:id="355"/>
              <w:r>
                <w:rPr>
                  <w:rStyle w:val="Hipercze"/>
                  <w:i/>
                  <w:sz w:val="18"/>
                  <w:szCs w:val="18"/>
                </w:rPr>
                <w:t>j</w:t>
              </w:r>
            </w:hyperlink>
            <w:r>
              <w:rPr>
                <w:i/>
                <w:sz w:val="18"/>
                <w:szCs w:val="18"/>
              </w:rPr>
              <w:t>.</w: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771" w:dyaOrig="1100">
                <v:shape id="Picture 48" o:spid="_x0000_i1058" type="#_x0000_t75" style="width:388.8pt;height:55.2pt;visibility:visible;mso-wrap-style:square" o:ole="">
                  <v:imagedata r:id="rId214" o:title=""/>
                </v:shape>
                <o:OLEObject Type="Embed" ProgID="PBrush" ShapeID="Picture 48" DrawAspect="Content" ObjectID="_1631183989" r:id="rId215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757" w:dyaOrig="1752">
                <v:shape id="Picture 49" o:spid="_x0000_i1059" type="#_x0000_t75" style="width:387.6pt;height:87.6pt;visibility:visible;mso-wrap-style:square" o:ole="">
                  <v:imagedata r:id="rId216" o:title=""/>
                </v:shape>
                <o:OLEObject Type="Embed" ProgID="PBrush" ShapeID="Picture 49" DrawAspect="Content" ObjectID="_1631183990" r:id="rId217"/>
              </w:object>
            </w:r>
          </w:p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716" w:dyaOrig="1929">
                <v:shape id="Picture 50" o:spid="_x0000_i1060" type="#_x0000_t75" style="width:385.8pt;height:96.6pt;visibility:visible;mso-wrap-style:square" o:ole="">
                  <v:imagedata r:id="rId218" o:title=""/>
                </v:shape>
                <o:OLEObject Type="Embed" ProgID="PBrush" ShapeID="Picture 50" DrawAspect="Content" ObjectID="_1631183991" r:id="rId219"/>
              </w:object>
            </w:r>
          </w:p>
        </w:tc>
      </w:tr>
    </w:tbl>
    <w:p w:rsidR="00D814B8" w:rsidRDefault="0053412E">
      <w:pPr>
        <w:pStyle w:val="Nagwek3"/>
        <w:keepNext w:val="0"/>
        <w:keepLines w:val="0"/>
        <w:widowControl w:val="0"/>
        <w:spacing w:before="240"/>
        <w:ind w:left="142"/>
      </w:pPr>
      <w:bookmarkStart w:id="356" w:name="_Dodawanie_wierszy_wraz"/>
      <w:bookmarkStart w:id="357" w:name="_Toc500853286"/>
      <w:bookmarkStart w:id="358" w:name="_Toc8914901"/>
      <w:bookmarkStart w:id="359" w:name="_Toc9422419"/>
      <w:bookmarkStart w:id="360" w:name="_Toc9505031"/>
      <w:bookmarkStart w:id="361" w:name="_Toc9594613"/>
      <w:bookmarkStart w:id="362" w:name="_Toc9866927"/>
      <w:bookmarkStart w:id="363" w:name="_Toc9924631"/>
      <w:bookmarkStart w:id="364" w:name="_Toc10015014"/>
      <w:bookmarkStart w:id="365" w:name="_Toc10556771"/>
      <w:bookmarkStart w:id="366" w:name="_Toc10640672"/>
      <w:bookmarkStart w:id="367" w:name="_Toc10737198"/>
      <w:bookmarkStart w:id="368" w:name="_Toc10792844"/>
      <w:bookmarkStart w:id="369" w:name="_Toc10817320"/>
      <w:bookmarkStart w:id="370" w:name="_Toc13481635"/>
      <w:bookmarkStart w:id="371" w:name="_Toc13559321"/>
      <w:bookmarkStart w:id="372" w:name="_Toc13651207"/>
      <w:bookmarkStart w:id="373" w:name="_Toc14429174"/>
      <w:bookmarkEnd w:id="356"/>
      <w:r>
        <w:t>Dodawanie wierszy wraz z edytowaniem/poprawianiem formuł</w:t>
      </w:r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</w:p>
    <w:p w:rsidR="00D814B8" w:rsidRDefault="0053412E">
      <w:pPr>
        <w:widowControl w:val="0"/>
        <w:spacing w:before="240" w:after="0"/>
        <w:ind w:right="-134"/>
        <w:jc w:val="both"/>
      </w:pPr>
      <w:r>
        <w:t>Przypadek zilustrowany powyżej jest stosunkowo prosty do przeprowadzenia. Sytuacja wygląda jednak nieco gorzej, jeśli chcemy/musimy dodać całą sekcję do tabeli, która ma coś skrupulatnie policzyć. Pr</w:t>
      </w:r>
      <w:r>
        <w:t>zykładem tabel „dużoliczących”, w których (być może/z pewnością/przypuszczalnie) przewidziano zbyt mało wierszy/sekcji są różne „mutacje” zestawień rzeczowo-finansowych (ZRF), które radzą sobie z liczeniem (sumowaniem) wartości z nowododawanych wierszy, po</w:t>
      </w:r>
      <w:r>
        <w:t>d warunkiem, że wiersze zostaną dodane do istniejących już kategorii/grup kosztów. Poprawnie policzą też sumy pośrednie, sumę końcową oraz udziały/wkład Partnerów w koszty operacji, jeśli poukrywamy część (pustych) wierszy.</w:t>
      </w: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2"/>
        <w:gridCol w:w="3287"/>
        <w:gridCol w:w="2088"/>
        <w:gridCol w:w="2822"/>
        <w:gridCol w:w="51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10257" w:dyaOrig="6290">
                <v:shape id="Picture 51" o:spid="_x0000_i1061" type="#_x0000_t75" style="width:513pt;height:314.4pt;visibility:visible;mso-wrap-style:square" o:ole="">
                  <v:imagedata r:id="rId220" o:title=""/>
                </v:shape>
                <o:OLEObject Type="Embed" ProgID="PBrush" ShapeID="Picture 51" DrawAspect="Content" ObjectID="_1631183992" r:id="rId221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120"/>
              <w:ind w:right="34"/>
              <w:jc w:val="both"/>
            </w:pPr>
            <w:r>
              <w:t>Trudności za</w:t>
            </w:r>
            <w:r>
              <w:t xml:space="preserve">czną się, kiedy okaże się, że potrzebne są dodatkowe sekcje/grupy kosztów. Praktycznie „problem” dotyczy wyłącznie grup kosztów (A, B i dalszych, jeśli będą potrzebne) w kategorii </w:t>
            </w:r>
            <w:r>
              <w:rPr>
                <w:i/>
              </w:rPr>
              <w:t>I. Koszty kwalifikowalne…</w:t>
            </w:r>
            <w:r>
              <w:t xml:space="preserve"> Wydaje się zbędną możliwość dodawania nowych kateg</w:t>
            </w:r>
            <w:r>
              <w:t xml:space="preserve">orii. Nie zmienia to jednak faktu, że dodanie kolejnych grup kosztów (np. C, D, E… n) będzie wymagało nieco więcej wysiłku, niż „zwykłe” dodawanie wierszy w predefiniowanych (zawczasu przewidzianych i przygotowanych) sekcjach. Poniżej spróbuję pokazać jak </w:t>
            </w:r>
            <w:r>
              <w:t>dodać sekcję C i jak zmodyfikować formuły żeby wszystko policzyło się jak należy.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6"/>
              <w:jc w:val="both"/>
            </w:pPr>
            <w:r>
              <w:rPr>
                <w:i/>
                <w:sz w:val="18"/>
                <w:szCs w:val="18"/>
              </w:rPr>
              <w:t xml:space="preserve">Podobnie, jak w przypadku „zwykłego” wstawiania (kiedy dodajemy wiersz do już istniejącej sekcji/grupy kosztów) musimy kolejno dodać </w:t>
            </w:r>
            <w:r>
              <w:rPr>
                <w:b/>
                <w:i/>
                <w:sz w:val="18"/>
                <w:szCs w:val="18"/>
              </w:rPr>
              <w:t>5 wierszy</w:t>
            </w:r>
            <w:r>
              <w:rPr>
                <w:i/>
                <w:sz w:val="18"/>
                <w:szCs w:val="18"/>
              </w:rPr>
              <w:t xml:space="preserve"> (lub wielokrotność 5).</w:t>
            </w:r>
          </w:p>
          <w:p w:rsidR="00D814B8" w:rsidRDefault="0053412E">
            <w:pPr>
              <w:widowControl w:val="0"/>
              <w:spacing w:after="0"/>
              <w:ind w:right="6"/>
              <w:jc w:val="both"/>
            </w:pPr>
            <w:r>
              <w:rPr>
                <w:i/>
                <w:sz w:val="18"/>
                <w:szCs w:val="18"/>
              </w:rPr>
              <w:t>Następn</w:t>
            </w:r>
            <w:r>
              <w:rPr>
                <w:i/>
                <w:sz w:val="18"/>
                <w:szCs w:val="18"/>
              </w:rPr>
              <w:t xml:space="preserve">ie zaznaczamy podsumowanie sekcji A. oraz 4 wiersze (bez podsumowania) z sekcji B. – </w:t>
            </w:r>
            <w:r>
              <w:rPr>
                <w:b/>
                <w:i/>
                <w:sz w:val="18"/>
                <w:szCs w:val="18"/>
              </w:rPr>
              <w:t>tylko aktywne komórki</w:t>
            </w:r>
            <w:r>
              <w:rPr>
                <w:i/>
                <w:sz w:val="18"/>
                <w:szCs w:val="18"/>
              </w:rPr>
              <w:t xml:space="preserve"> (nie całe wiersze)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rPr>
          <w:trHeight w:val="1864"/>
        </w:trPr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6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i „ciągnąc” za (znany już Państwu) zielony kwadracik przeciągamy formatowanie komórek z zaznaczonych komórek do nowododanych </w:t>
            </w:r>
            <w:r>
              <w:rPr>
                <w:i/>
                <w:sz w:val="18"/>
                <w:szCs w:val="18"/>
              </w:rPr>
              <w:t xml:space="preserve">wierszy </w:t>
            </w: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8056" w:dyaOrig="1576">
                <v:shape id="Picture 54" o:spid="_x0000_i1062" type="#_x0000_t75" style="width:402.6pt;height:78.6pt;visibility:visible;mso-wrap-style:square" o:ole="">
                  <v:imagedata r:id="rId222" o:title=""/>
                </v:shape>
                <o:OLEObject Type="Embed" ProgID="PBrush" ShapeID="Picture 54" DrawAspect="Content" ObjectID="_1631183993" r:id="rId223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6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W efekcie pozyskamy nową (nowe) sekcję (sekcje) oraz spory bałagan w numeracji (zaznaczony czerwonymi owalami), który trzeba uporządkować.</w:t>
            </w: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8015" w:dyaOrig="1780">
                <v:shape id="Picture 52" o:spid="_x0000_i1063" type="#_x0000_t75" style="width:400.8pt;height:88.8pt;visibility:visible;mso-wrap-style:square" o:ole="">
                  <v:imagedata r:id="rId224" o:title=""/>
                </v:shape>
                <o:OLEObject Type="Embed" ProgID="PBrush" ShapeID="Picture 52" DrawAspect="Content" ObjectID="_1631183994" r:id="rId225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6"/>
              <w:jc w:val="both"/>
            </w:pPr>
            <w:r>
              <w:rPr>
                <w:i/>
                <w:sz w:val="18"/>
                <w:szCs w:val="18"/>
              </w:rPr>
              <w:t xml:space="preserve">Poprawiamy numery grup oraz podsumowań grup i wypełniamy ZRF – </w:t>
            </w:r>
            <w:r>
              <w:rPr>
                <w:i/>
                <w:sz w:val="18"/>
                <w:szCs w:val="18"/>
              </w:rPr>
              <w:t>formuły zostawiamy sobie „na deser” – po dodaniu nowych grup już nie działają już poprawnie</w:t>
            </w: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7974" w:dyaOrig="1807">
                <v:shape id="Picture 53" o:spid="_x0000_i1064" type="#_x0000_t75" style="width:399pt;height:90.6pt;visibility:visible;mso-wrap-style:square" o:ole="">
                  <v:imagedata r:id="rId226" o:title=""/>
                </v:shape>
                <o:OLEObject Type="Embed" ProgID="PBrush" ShapeID="Picture 53" DrawAspect="Content" ObjectID="_1631183995" r:id="rId227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ind w:right="7"/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spacing w:after="0"/>
              <w:ind w:right="-108"/>
              <w:jc w:val="center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rPr>
          <w:trHeight w:val="1345"/>
        </w:trPr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lastRenderedPageBreak/>
              <w:t xml:space="preserve">Po tym, jak uporamy się z wypełnieniem kategorii I. ZRF nieuniknionym będzie dokonanie zmian w treści formuł liczących sumy grup oraz sumę </w:t>
            </w:r>
            <w:r>
              <w:rPr>
                <w:i/>
                <w:sz w:val="18"/>
                <w:szCs w:val="18"/>
              </w:rPr>
              <w:t>kategorii I.</w:t>
            </w:r>
          </w:p>
          <w:p w:rsidR="00D814B8" w:rsidRDefault="0053412E">
            <w:pPr>
              <w:widowControl w:val="0"/>
              <w:spacing w:after="0"/>
              <w:ind w:right="6"/>
              <w:jc w:val="both"/>
            </w:pPr>
            <w:r>
              <w:rPr>
                <w:b/>
                <w:i/>
                <w:sz w:val="18"/>
                <w:szCs w:val="18"/>
              </w:rPr>
              <w:t>Uwaga!</w:t>
            </w:r>
            <w:r>
              <w:rPr>
                <w:i/>
                <w:sz w:val="18"/>
                <w:szCs w:val="18"/>
              </w:rPr>
              <w:t xml:space="preserve"> Podsumowanie grupy A, sumy kategorii </w:t>
            </w:r>
            <w:r>
              <w:rPr>
                <w:b/>
                <w:i/>
                <w:sz w:val="18"/>
                <w:szCs w:val="18"/>
              </w:rPr>
              <w:t>innych niż I.</w:t>
            </w:r>
            <w:r>
              <w:rPr>
                <w:i/>
                <w:sz w:val="18"/>
                <w:szCs w:val="18"/>
              </w:rPr>
              <w:t>, suma ogólna oraz podsumowania dla Partnerów nie będą wymagały poprawek</w:t>
            </w:r>
          </w:p>
        </w:tc>
        <w:tc>
          <w:tcPr>
            <w:tcW w:w="32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both"/>
            </w:pPr>
            <w:r>
              <w:rPr>
                <w:i/>
                <w:sz w:val="18"/>
                <w:szCs w:val="18"/>
              </w:rPr>
              <w:t xml:space="preserve">W pierwszej poprawianej komórce wiersza z podsumowaniami w </w:t>
            </w:r>
            <w:r>
              <w:rPr>
                <w:b/>
                <w:i/>
                <w:sz w:val="18"/>
                <w:szCs w:val="18"/>
              </w:rPr>
              <w:t>grupie B.</w:t>
            </w:r>
            <w:r>
              <w:rPr>
                <w:i/>
                <w:sz w:val="18"/>
                <w:szCs w:val="18"/>
              </w:rPr>
              <w:t xml:space="preserve"> kosztów wstawiamy (zamiast formuły, która ju</w:t>
            </w:r>
            <w:r>
              <w:rPr>
                <w:i/>
                <w:sz w:val="18"/>
                <w:szCs w:val="18"/>
              </w:rPr>
              <w:t>ż się tam znajduje) funkcję „=SUMA(”, a następnie zaznaczamy zakres komórek, które mają być zsumowane, zamykamy nawias ”)” i potwierdzamy nową formułę wciskając klawisz [Enter] na klawiaturze</w:t>
            </w:r>
          </w:p>
          <w:p w:rsidR="00D814B8" w:rsidRDefault="0053412E">
            <w:pPr>
              <w:widowControl w:val="0"/>
              <w:spacing w:after="0"/>
              <w:ind w:right="-108"/>
              <w:jc w:val="center"/>
            </w:pPr>
            <w:r>
              <w:object w:dxaOrig="2785" w:dyaOrig="1549">
                <v:shape id="Picture 55" o:spid="_x0000_i1065" type="#_x0000_t75" style="width:139.2pt;height:77.4pt;visibility:visible;mso-wrap-style:square" o:ole="">
                  <v:imagedata r:id="rId228" o:title=""/>
                </v:shape>
                <o:OLEObject Type="Embed" ProgID="PBrush" ShapeID="Picture 55" DrawAspect="Content" ObjectID="_1631183996" r:id="rId229"/>
              </w:object>
            </w:r>
          </w:p>
        </w:tc>
        <w:tc>
          <w:tcPr>
            <w:tcW w:w="496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53412E">
            <w:pPr>
              <w:widowControl w:val="0"/>
              <w:spacing w:after="0"/>
              <w:ind w:left="131" w:right="-10"/>
              <w:jc w:val="both"/>
            </w:pPr>
            <w:r>
              <w:rPr>
                <w:i/>
                <w:sz w:val="18"/>
                <w:szCs w:val="18"/>
              </w:rPr>
              <w:t>Następnie zaznaczamy komórkę z nową formułą i</w:t>
            </w:r>
            <w:r>
              <w:rPr>
                <w:i/>
                <w:sz w:val="18"/>
                <w:szCs w:val="18"/>
              </w:rPr>
              <w:t xml:space="preserve"> „przytrzymując” (lewym klawiszem myszki) „mały zielony kwadracik” przeciągamy formułę do sąsiadujących (z prawej strony) komórek – </w:t>
            </w:r>
            <w:r>
              <w:rPr>
                <w:b/>
                <w:i/>
                <w:sz w:val="18"/>
                <w:szCs w:val="18"/>
              </w:rPr>
              <w:t>bez komórki nr Partnera!</w:t>
            </w:r>
          </w:p>
          <w:p w:rsidR="00D814B8" w:rsidRDefault="0053412E">
            <w:pPr>
              <w:widowControl w:val="0"/>
              <w:spacing w:after="0"/>
              <w:ind w:left="131" w:right="-10"/>
              <w:jc w:val="both"/>
            </w:pPr>
            <w:r>
              <w:object w:dxaOrig="4863" w:dyaOrig="1304">
                <v:shape id="Picture 56" o:spid="_x0000_i1066" type="#_x0000_t75" style="width:243pt;height:65.4pt;visibility:visible;mso-wrap-style:square" o:ole="">
                  <v:imagedata r:id="rId230" o:title=""/>
                </v:shape>
                <o:OLEObject Type="Embed" ProgID="PBrush" ShapeID="Picture 56" DrawAspect="Content" ObjectID="_1631183997" r:id="rId231"/>
              </w:objec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:rsidR="00D814B8" w:rsidRDefault="00D814B8">
            <w:pPr>
              <w:widowControl w:val="0"/>
              <w:spacing w:after="0"/>
              <w:ind w:left="131" w:right="-10"/>
              <w:jc w:val="both"/>
              <w:rPr>
                <w:i/>
                <w:sz w:val="18"/>
                <w:szCs w:val="18"/>
              </w:rPr>
            </w:pPr>
          </w:p>
          <w:p w:rsidR="00D814B8" w:rsidRDefault="0053412E">
            <w:pPr>
              <w:widowControl w:val="0"/>
              <w:spacing w:after="0"/>
              <w:ind w:left="131" w:right="-10"/>
              <w:jc w:val="both"/>
            </w:pPr>
            <w:r>
              <w:rPr>
                <w:i/>
                <w:sz w:val="18"/>
                <w:szCs w:val="18"/>
              </w:rPr>
              <w:t xml:space="preserve">Analogicznie postępujemy z pierwszą komórką i wierszem podsumowań dla </w:t>
            </w:r>
            <w:r>
              <w:rPr>
                <w:b/>
                <w:i/>
                <w:sz w:val="18"/>
                <w:szCs w:val="18"/>
              </w:rPr>
              <w:t>grupy C.</w:t>
            </w:r>
            <w:r>
              <w:rPr>
                <w:i/>
                <w:sz w:val="18"/>
                <w:szCs w:val="18"/>
              </w:rPr>
              <w:t xml:space="preserve"> (ewentualnie D., E., itd.)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7"/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Grande finale!</w:t>
            </w:r>
          </w:p>
          <w:p w:rsidR="00D814B8" w:rsidRDefault="0053412E">
            <w:pPr>
              <w:widowControl w:val="0"/>
              <w:spacing w:after="0"/>
              <w:ind w:right="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Zmieniamy formuły w komórkach sumowania kategorii I. i gotowe.</w:t>
            </w:r>
          </w:p>
        </w:tc>
        <w:tc>
          <w:tcPr>
            <w:tcW w:w="32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both"/>
            </w:pPr>
            <w:r>
              <w:rPr>
                <w:i/>
                <w:sz w:val="18"/>
                <w:szCs w:val="18"/>
              </w:rPr>
              <w:t>W pierwszej poprawianej komórce wiersza z podsumowaniami dla kategorii I. kosztów wstawiamy (zamiast formuły, która już się tam znajduje) funkcję „=S</w:t>
            </w:r>
            <w:r>
              <w:rPr>
                <w:i/>
                <w:sz w:val="18"/>
                <w:szCs w:val="18"/>
              </w:rPr>
              <w:t xml:space="preserve">UMA(”, a następnie zaznaczamy zakres komórek, które mają być zsumowane (trzymając wciśnięty klawisz [Ctrl] klikamy </w:t>
            </w:r>
            <w:r>
              <w:rPr>
                <w:b/>
                <w:i/>
                <w:sz w:val="18"/>
                <w:szCs w:val="18"/>
              </w:rPr>
              <w:t xml:space="preserve">tylko </w:t>
            </w:r>
            <w:r>
              <w:rPr>
                <w:i/>
                <w:sz w:val="18"/>
                <w:szCs w:val="18"/>
              </w:rPr>
              <w:t>w komórki sumujące poszczególne grupy kosztów (A., B., C.), zamykamy nawias ”)” i potwierdzamy nową formułę [Enterem]</w:t>
            </w:r>
          </w:p>
          <w:p w:rsidR="00D814B8" w:rsidRDefault="0053412E">
            <w:pPr>
              <w:widowControl w:val="0"/>
              <w:spacing w:after="0"/>
              <w:ind w:right="-108"/>
              <w:jc w:val="both"/>
            </w:pPr>
            <w:r>
              <w:object w:dxaOrig="3070" w:dyaOrig="3682">
                <v:shape id="Picture 57" o:spid="_x0000_i1067" type="#_x0000_t75" style="width:153.6pt;height:184.2pt;visibility:visible;mso-wrap-style:square" o:ole="">
                  <v:imagedata r:id="rId232" o:title=""/>
                </v:shape>
                <o:OLEObject Type="Embed" ProgID="PBrush" ShapeID="Picture 57" DrawAspect="Content" ObjectID="_1631183998" r:id="rId233"/>
              </w:object>
            </w:r>
          </w:p>
        </w:tc>
        <w:tc>
          <w:tcPr>
            <w:tcW w:w="496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53412E">
            <w:pPr>
              <w:widowControl w:val="0"/>
              <w:spacing w:after="0"/>
              <w:ind w:left="130" w:right="-11"/>
              <w:jc w:val="both"/>
            </w:pPr>
            <w:r>
              <w:rPr>
                <w:i/>
                <w:sz w:val="18"/>
                <w:szCs w:val="18"/>
              </w:rPr>
              <w:t xml:space="preserve">Następnie zaznaczamy komórkę z nową formułą i „przytrzymując” (lewym klawiszem myszki) „mały zielony kwadracik” przeciągamy formułę do sąsiadujących (z prawej strony) komórek – </w:t>
            </w:r>
            <w:r>
              <w:rPr>
                <w:b/>
                <w:i/>
                <w:sz w:val="18"/>
                <w:szCs w:val="18"/>
              </w:rPr>
              <w:t>bez komórki nr Partnera!</w:t>
            </w:r>
          </w:p>
          <w:p w:rsidR="00D814B8" w:rsidRDefault="0053412E">
            <w:pPr>
              <w:widowControl w:val="0"/>
              <w:spacing w:after="0"/>
              <w:ind w:left="131" w:right="-10"/>
              <w:jc w:val="both"/>
            </w:pPr>
            <w:r>
              <w:object w:dxaOrig="4931" w:dyaOrig="1318">
                <v:shape id="Picture 58" o:spid="_x0000_i1068" type="#_x0000_t75" style="width:246.6pt;height:66pt;visibility:visible;mso-wrap-style:square" o:ole="">
                  <v:imagedata r:id="rId234" o:title=""/>
                </v:shape>
                <o:OLEObject Type="Embed" ProgID="PBrush" ShapeID="Picture 58" DrawAspect="Content" ObjectID="_1631183999" r:id="rId235"/>
              </w:objec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120" w:after="0"/>
              <w:ind w:left="130" w:right="-11"/>
              <w:jc w:val="both"/>
            </w:pPr>
            <w:r>
              <w:rPr>
                <w:i/>
                <w:sz w:val="18"/>
                <w:szCs w:val="18"/>
              </w:rPr>
              <w:t xml:space="preserve">ZRF powinnno być już kompletne </w:t>
            </w:r>
            <w:r>
              <w:rPr>
                <w:i/>
                <w:sz w:val="18"/>
                <w:szCs w:val="18"/>
              </w:rPr>
              <w:t>i poprawne.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ind w:right="-108"/>
              <w:jc w:val="both"/>
            </w:pPr>
            <w:r>
              <w:t xml:space="preserve">Oczywiście istnieje prostsze rozwiązanie omówionego powyżej problemu – można wysłać formularz, wraz z liczbą sekcji/grup kosztów, które mają być dodane na adres: </w:t>
            </w:r>
            <w:hyperlink r:id="rId236" w:history="1">
              <w:r>
                <w:rPr>
                  <w:rStyle w:val="Hipercze"/>
                </w:rPr>
                <w:t>tadeusz.korobkow@arimr.gov.pl</w:t>
              </w:r>
            </w:hyperlink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74" w:name="_Toc500423449"/>
            <w:bookmarkStart w:id="375" w:name="_Toc500505041"/>
            <w:bookmarkStart w:id="376" w:name="_Toc500768222"/>
            <w:bookmarkStart w:id="377" w:name="_Toc500853287"/>
            <w:bookmarkStart w:id="378" w:name="_Toc8914902"/>
            <w:bookmarkStart w:id="379" w:name="_Toc9422420"/>
            <w:bookmarkStart w:id="380" w:name="_Toc9505032"/>
            <w:bookmarkStart w:id="381" w:name="_Toc9594614"/>
            <w:bookmarkStart w:id="382" w:name="_Toc9866928"/>
            <w:bookmarkStart w:id="383" w:name="_Toc9924632"/>
            <w:bookmarkStart w:id="384" w:name="_Toc10015015"/>
            <w:bookmarkStart w:id="385" w:name="_Toc10556772"/>
            <w:bookmarkStart w:id="386" w:name="_Toc10640673"/>
            <w:bookmarkStart w:id="387" w:name="_Toc10737199"/>
            <w:bookmarkStart w:id="388" w:name="_Toc10792845"/>
            <w:bookmarkStart w:id="389" w:name="_Toc10817321"/>
            <w:bookmarkStart w:id="390" w:name="_Toc13481636"/>
            <w:bookmarkStart w:id="391" w:name="_Toc13559322"/>
            <w:bookmarkStart w:id="392" w:name="_Toc13651208"/>
            <w:bookmarkStart w:id="393" w:name="_Toc14429175"/>
            <w:r>
              <w:t>Wstawianie hiperłączy</w:t>
            </w:r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niedozwolone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right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bookmarkStart w:id="394" w:name="_Toc500247264"/>
            <w:bookmarkStart w:id="395" w:name="_Toc500339111"/>
            <w:r>
              <w:t>Nie wstawiamy i nie pozwalamy wstawiać, bo to potencjalne źródło załączania do wniosków niepożądanych treści, wirusów lub niewybrednych żartów.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96" w:name="_Toc500423450"/>
            <w:bookmarkStart w:id="397" w:name="_Toc500505042"/>
            <w:bookmarkStart w:id="398" w:name="_Toc500768223"/>
            <w:bookmarkStart w:id="399" w:name="_Toc500853288"/>
            <w:bookmarkStart w:id="400" w:name="_Toc8914903"/>
            <w:bookmarkStart w:id="401" w:name="_Toc9422421"/>
            <w:bookmarkStart w:id="402" w:name="_Toc9505033"/>
            <w:bookmarkStart w:id="403" w:name="_Toc9594615"/>
            <w:bookmarkStart w:id="404" w:name="_Toc9866929"/>
            <w:bookmarkStart w:id="405" w:name="_Toc9924633"/>
            <w:bookmarkStart w:id="406" w:name="_Toc10015016"/>
            <w:bookmarkStart w:id="407" w:name="_Toc10556773"/>
            <w:bookmarkStart w:id="408" w:name="_Toc10640674"/>
            <w:bookmarkStart w:id="409" w:name="_Toc10737200"/>
            <w:bookmarkStart w:id="410" w:name="_Toc10792846"/>
            <w:bookmarkStart w:id="411" w:name="_Toc10817322"/>
            <w:bookmarkStart w:id="412" w:name="_Toc13481637"/>
            <w:bookmarkStart w:id="413" w:name="_Toc13559323"/>
            <w:bookmarkStart w:id="414" w:name="_Toc13651209"/>
            <w:bookmarkStart w:id="415" w:name="_Toc14429176"/>
            <w:r>
              <w:t>Usuwanie kolumn</w:t>
            </w:r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niedozwolone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right"/>
            </w:pPr>
          </w:p>
        </w:tc>
      </w:tr>
      <w:bookmarkEnd w:id="394"/>
      <w:bookmarkEnd w:id="395"/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 xml:space="preserve">Kolumny w </w:t>
            </w:r>
            <w:r>
              <w:t>formularzach wniosków są nieusuwalne. Możliwe jest jednak – w uzasadnionych przypadkach – ukrycie „nadmiarowych” etapów poprzez ukrycie odpowiadających im kolumn (np. gdy Zestawienie Rzeczowo-Finansowe we wniosku o przyznanie pomocy w poddziałaniu 19.3 pow</w:t>
            </w:r>
            <w:r>
              <w:t>inno zawierać mniej etapów niż pięć przewidzianych w szablonie wniosku).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 xml:space="preserve">Aby ukryć zbędne etapy w ZRF należy kliknąć lewym klawiszem myszy na nagłówek kolumny Q (po „najechaniu” na nagłówek kolumny kursor zmieni kształt na </w:t>
            </w:r>
            <w:r>
              <w:rPr>
                <w:rFonts w:ascii="Wingdings 3" w:eastAsia="Wingdings 3" w:hAnsi="Wingdings 3" w:cs="Wingdings 3"/>
              </w:rPr>
              <w:t></w:t>
            </w:r>
            <w:r>
              <w:t xml:space="preserve">) i cały czas trzymając </w:t>
            </w:r>
            <w:r>
              <w:t xml:space="preserve">klawisz myszy wciśnięty (kursor ma teraz kształt </w:t>
            </w:r>
            <w:r>
              <w:object w:dxaOrig="231" w:dyaOrig="231">
                <v:shape id="Picture 32" o:spid="_x0000_i1069" type="#_x0000_t75" style="width:11.4pt;height:11.4pt;visibility:visible;mso-wrap-style:square" o:ole="">
                  <v:imagedata r:id="rId237" o:title=""/>
                </v:shape>
                <o:OLEObject Type="Embed" ProgID="PBrush" ShapeID="Picture 32" DrawAspect="Content" ObjectID="_1631184000" r:id="rId238"/>
              </w:object>
            </w:r>
            <w:r>
              <w:t>) przeciągamy obszar zaznaczania aż do kolumny V. Następnie klikamy prawym klawiszem myszy na nagłówek jednej z zaznaczonych kolumn by pojawiło się menu podręczne, z którego wybieramy polec</w:t>
            </w:r>
            <w:r>
              <w:t>enie „Uk</w:t>
            </w:r>
            <w:r>
              <w:rPr>
                <w:u w:val="single"/>
              </w:rPr>
              <w:t>r</w:t>
            </w:r>
            <w:r>
              <w:t>yj”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9183" w:dyaOrig="4795">
                <v:shape id="Picture 33" o:spid="_x0000_i1070" type="#_x0000_t75" style="width:459pt;height:240pt;visibility:visible;mso-wrap-style:square" o:ole="">
                  <v:imagedata r:id="rId239" o:title=""/>
                </v:shape>
                <o:OLEObject Type="Embed" ProgID="PBrush" ShapeID="Picture 33" DrawAspect="Content" ObjectID="_1631184001" r:id="rId240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center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>Jeśli wszystko poszło we właściwy sposób, to efektem będzie tabela ZRF obejmująca tylko trzy etapy projektu (jak na rysunku poniżej)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center"/>
            </w:pPr>
            <w:r>
              <w:object w:dxaOrig="8817" w:dyaOrig="2011">
                <v:shape id="Picture 34" o:spid="_x0000_i1071" type="#_x0000_t75" style="width:441pt;height:100.8pt;visibility:visible;mso-wrap-style:square" o:ole="">
                  <v:imagedata r:id="rId241" o:title=""/>
                </v:shape>
                <o:OLEObject Type="Embed" ProgID="PBrush" ShapeID="Picture 34" DrawAspect="Content" ObjectID="_1631184002" r:id="rId242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center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>Można ukryć mniej (lub więcej) kolumn – ważne żeby zrobić to z n</w:t>
            </w:r>
            <w:r>
              <w:t>ależytą starannością, by nie otrzymać tabeli zawierającej np. etapy I, II i V. Jeśli chcemy na powrót odkryć ukryte kolumny zaznaczamy (w taki sam sposób, jak w przypadku ukrywania) kolumny sąsiadujące (po lewej i po prawej stronie) z „grubą kreską” (na ry</w:t>
            </w:r>
            <w:r>
              <w:t>sunku powyżej kolumny: P | „dziura” | W – obwiedzione owalem), klikamy prawym klawiszem myszki na nagłówek jednej z zaznaczonych kolumn by pojawiło się menu podręczne, z którego wybieramy polecenie „</w:t>
            </w:r>
            <w:r>
              <w:rPr>
                <w:u w:val="single"/>
              </w:rPr>
              <w:t>O</w:t>
            </w:r>
            <w:r>
              <w:t>dkryj”.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416" w:name="_Toc500423451"/>
            <w:bookmarkStart w:id="417" w:name="_Toc500505043"/>
            <w:bookmarkStart w:id="418" w:name="_Toc500768224"/>
            <w:bookmarkStart w:id="419" w:name="UsuwWier"/>
            <w:bookmarkStart w:id="420" w:name="_Toc500853289"/>
            <w:bookmarkStart w:id="421" w:name="_Toc8914904"/>
            <w:bookmarkStart w:id="422" w:name="_Toc9422422"/>
            <w:bookmarkStart w:id="423" w:name="_Toc9505034"/>
            <w:bookmarkStart w:id="424" w:name="_Toc9594616"/>
            <w:bookmarkStart w:id="425" w:name="_Toc9866930"/>
            <w:bookmarkStart w:id="426" w:name="_Toc9924634"/>
            <w:bookmarkStart w:id="427" w:name="_Toc10015017"/>
            <w:bookmarkStart w:id="428" w:name="_Toc10556774"/>
            <w:bookmarkStart w:id="429" w:name="_Toc10640675"/>
            <w:bookmarkStart w:id="430" w:name="_Toc10737201"/>
            <w:bookmarkStart w:id="431" w:name="_Toc10792847"/>
            <w:bookmarkStart w:id="432" w:name="_Toc10817323"/>
            <w:bookmarkStart w:id="433" w:name="_Toc13481638"/>
            <w:bookmarkStart w:id="434" w:name="_Toc13559324"/>
            <w:bookmarkStart w:id="435" w:name="_Toc13651210"/>
            <w:bookmarkStart w:id="436" w:name="_Toc14429177"/>
            <w:r>
              <w:t>Usuwanie wierszy</w:t>
            </w:r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right"/>
            </w:pPr>
            <w:r>
              <w:rPr>
                <w:color w:val="00B050"/>
              </w:rPr>
              <w:t>dozwolone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right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both"/>
            </w:pPr>
            <w:r>
              <w:t>Aby usunąć wiersz</w:t>
            </w:r>
            <w:r>
              <w:t xml:space="preserve"> należy „kliknąć” prawym klawiszem myszki na numer wiersza, który chcemy usunąć i z menu podręcznego wybrać polecenie „</w:t>
            </w:r>
            <w:r>
              <w:rPr>
                <w:u w:val="single"/>
              </w:rPr>
              <w:t>U</w:t>
            </w:r>
            <w:r>
              <w:t xml:space="preserve">suń” 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9944" w:dyaOrig="3532">
                <v:shape id="Picture 35" o:spid="_x0000_i1072" type="#_x0000_t75" style="width:497.4pt;height:176.4pt;visibility:visible;mso-wrap-style:square" o:ole="">
                  <v:imagedata r:id="rId243" o:title=""/>
                </v:shape>
                <o:OLEObject Type="Embed" ProgID="PBrush" ShapeID="Picture 35" DrawAspect="Content" ObjectID="_1631184003" r:id="rId244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</w:tbl>
    <w:p w:rsidR="00D814B8" w:rsidRDefault="00D814B8"/>
    <w:p w:rsidR="00D814B8" w:rsidRDefault="00D814B8"/>
    <w:p w:rsidR="00D814B8" w:rsidRDefault="00D814B8">
      <w:pPr>
        <w:pageBreakBefore/>
      </w:pP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39"/>
        <w:gridCol w:w="51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120"/>
              <w:jc w:val="both"/>
            </w:pPr>
            <w:r>
              <w:t xml:space="preserve">Jednak w chronionym arkuszu </w:t>
            </w:r>
            <w:r>
              <w:rPr>
                <w:b/>
              </w:rPr>
              <w:t xml:space="preserve">nie da się </w:t>
            </w:r>
            <w:r>
              <w:t>usunąć wierszy zawierających choćby jedno zablokowane pole.</w:t>
            </w:r>
          </w:p>
          <w:p w:rsidR="00D814B8" w:rsidRDefault="0053412E">
            <w:pPr>
              <w:widowControl w:val="0"/>
              <w:spacing w:after="0"/>
              <w:jc w:val="both"/>
            </w:pPr>
            <w:r>
              <w:object w:dxaOrig="10216" w:dyaOrig="1752">
                <v:shape id="Picture 36" o:spid="_x0000_i1073" type="#_x0000_t75" style="width:510.6pt;height:87.6pt;visibility:visible;mso-wrap-style:square" o:ole="">
                  <v:imagedata r:id="rId245" o:title=""/>
                </v:shape>
                <o:OLEObject Type="Embed" ProgID="PBrush" ShapeID="Picture 36" DrawAspect="Content" ObjectID="_1631184004" r:id="rId246"/>
              </w:object>
            </w:r>
          </w:p>
          <w:p w:rsidR="00D814B8" w:rsidRDefault="0053412E">
            <w:pPr>
              <w:widowControl w:val="0"/>
              <w:spacing w:before="120" w:after="120"/>
              <w:jc w:val="both"/>
            </w:pPr>
            <w:bookmarkStart w:id="437" w:name="UkryjWiersz"/>
            <w:r>
              <w:t xml:space="preserve">Takie wiersze można ukryć, </w:t>
            </w:r>
            <w:bookmarkEnd w:id="437"/>
            <w:r>
              <w:t>zaznaczając jeden lub więcej wierszy i klikając na numer dowolnego wiersza z zaznaczonego zakresu, wywołać menu podręczne, z którego należy wybrać polecenie „</w:t>
            </w:r>
            <w:r>
              <w:rPr>
                <w:u w:val="single"/>
              </w:rPr>
              <w:t>U</w:t>
            </w:r>
            <w:r>
              <w:t>kryj”.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object w:dxaOrig="10189" w:dyaOrig="2540">
                <v:shape id="Picture 37" o:spid="_x0000_i1074" type="#_x0000_t75" style="width:509.4pt;height:127.2pt;visibility:visible;mso-wrap-style:square" o:ole="">
                  <v:imagedata r:id="rId247" o:title=""/>
                </v:shape>
                <o:OLEObject Type="Embed" ProgID="PBrush" ShapeID="Picture 37" DrawAspect="Content" ObjectID="_1631184005" r:id="rId248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t xml:space="preserve">po </w:t>
            </w:r>
            <w:r>
              <w:object w:dxaOrig="9890" w:dyaOrig="897">
                <v:shape id="Picture 38" o:spid="_x0000_i1075" type="#_x0000_t75" style="width:494.4pt;height:45pt;visibility:visible;mso-wrap-style:square" o:ole="">
                  <v:imagedata r:id="rId249" o:title=""/>
                </v:shape>
                <o:OLEObject Type="Embed" ProgID="PBrush" ShapeID="Picture 38" DrawAspect="Content" ObjectID="_1631184006" r:id="rId250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120"/>
              <w:jc w:val="both"/>
            </w:pPr>
            <w:r>
              <w:rPr>
                <w:b/>
              </w:rPr>
              <w:t>Uwaga!</w:t>
            </w:r>
            <w:r>
              <w:t xml:space="preserve"> Należy pamiętać aby w ukrywanych wierszach nie znajdowały się żadne dane, które mogłyby wpływać na wyświetlanie się nieprawidłowych wyników obliczeń (np. podsumowania danej kolumny).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</w:pPr>
          </w:p>
        </w:tc>
      </w:tr>
      <w:tr w:rsidR="00D814B8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object w:dxaOrig="10216" w:dyaOrig="1100">
                <v:shape id="Picture 39" o:spid="_x0000_i1076" type="#_x0000_t75" style="width:510.6pt;height:55.2pt;visibility:visible;mso-wrap-style:square" o:ole="">
                  <v:imagedata r:id="rId251" o:title=""/>
                </v:shape>
                <o:OLEObject Type="Embed" ProgID="PBrush" ShapeID="Picture 39" DrawAspect="Content" ObjectID="_1631184007" r:id="rId252"/>
              </w:object>
            </w:r>
          </w:p>
          <w:p w:rsidR="00D814B8" w:rsidRDefault="0053412E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W ukrytym wierszu B.1 w jednym z pól </w:t>
            </w:r>
            <w:r>
              <w:rPr>
                <w:i/>
                <w:sz w:val="18"/>
                <w:szCs w:val="18"/>
              </w:rPr>
              <w:t>wpisana została kwota 500 000,00, której nie usunięto przed ukryciem wiersza. Dlatego nie widać nigdzie kwoty, która znalazła się w podsumowaniu sekcji B.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</w:p>
        </w:tc>
      </w:tr>
    </w:tbl>
    <w:p w:rsidR="00D814B8" w:rsidRDefault="0053412E">
      <w:pPr>
        <w:pStyle w:val="Nagwek2"/>
        <w:keepNext w:val="0"/>
        <w:keepLines w:val="0"/>
        <w:widowControl w:val="0"/>
        <w:spacing w:before="240"/>
      </w:pPr>
      <w:bookmarkStart w:id="438" w:name="_Toc500505049"/>
      <w:bookmarkStart w:id="439" w:name="_Toc500768230"/>
      <w:bookmarkStart w:id="440" w:name="_Toc500853295"/>
      <w:bookmarkStart w:id="441" w:name="_Toc8914910"/>
      <w:bookmarkStart w:id="442" w:name="_Toc9422423"/>
      <w:bookmarkStart w:id="443" w:name="_Toc9505035"/>
      <w:bookmarkStart w:id="444" w:name="_Toc9594617"/>
      <w:bookmarkStart w:id="445" w:name="_Toc9866931"/>
      <w:bookmarkStart w:id="446" w:name="_Toc9924635"/>
      <w:bookmarkStart w:id="447" w:name="_Toc10015018"/>
      <w:bookmarkStart w:id="448" w:name="_Toc10556775"/>
      <w:bookmarkStart w:id="449" w:name="_Toc10640676"/>
      <w:bookmarkStart w:id="450" w:name="_Toc10737202"/>
      <w:bookmarkStart w:id="451" w:name="_Toc10792848"/>
      <w:bookmarkStart w:id="452" w:name="_Toc10817324"/>
      <w:bookmarkStart w:id="453" w:name="_Toc13481639"/>
      <w:bookmarkStart w:id="454" w:name="_Toc13559325"/>
      <w:bookmarkStart w:id="455" w:name="_Toc13651211"/>
      <w:bookmarkStart w:id="456" w:name="_Toc14429178"/>
      <w:r>
        <w:t>Ograniczenia, wynikające z ochrony skoroszytu</w:t>
      </w:r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</w:p>
    <w:tbl>
      <w:tblPr>
        <w:tblW w:w="10490" w:type="dxa"/>
        <w:tblInd w:w="-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17"/>
        <w:gridCol w:w="2822"/>
        <w:gridCol w:w="51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76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457" w:name="_Toc500505050"/>
            <w:bookmarkStart w:id="458" w:name="_Toc500768232"/>
            <w:bookmarkStart w:id="459" w:name="_Toc500853297"/>
            <w:bookmarkStart w:id="460" w:name="_Toc8914912"/>
            <w:bookmarkStart w:id="461" w:name="_Toc9422424"/>
            <w:bookmarkStart w:id="462" w:name="_Toc9505036"/>
            <w:bookmarkStart w:id="463" w:name="_Toc9594618"/>
            <w:bookmarkStart w:id="464" w:name="_Toc9866932"/>
            <w:bookmarkStart w:id="465" w:name="_Toc9924636"/>
            <w:bookmarkStart w:id="466" w:name="_Toc10015019"/>
            <w:bookmarkStart w:id="467" w:name="_Toc10556776"/>
            <w:bookmarkStart w:id="468" w:name="_Toc10640677"/>
            <w:bookmarkStart w:id="469" w:name="_Toc10737203"/>
            <w:bookmarkStart w:id="470" w:name="_Toc10792849"/>
            <w:bookmarkStart w:id="471" w:name="_Toc10817325"/>
            <w:bookmarkStart w:id="472" w:name="_Toc13481640"/>
            <w:bookmarkStart w:id="473" w:name="_Toc13559326"/>
            <w:bookmarkStart w:id="474" w:name="_Toc13651212"/>
            <w:bookmarkStart w:id="475" w:name="_Toc14429179"/>
            <w:r>
              <w:t>Struktura</w:t>
            </w:r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chroniona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814B8" w:rsidRDefault="00D814B8">
            <w:pPr>
              <w:widowControl w:val="0"/>
              <w:spacing w:before="240" w:after="0"/>
              <w:jc w:val="right"/>
            </w:pPr>
          </w:p>
        </w:tc>
      </w:tr>
    </w:tbl>
    <w:p w:rsidR="00D814B8" w:rsidRDefault="0053412E">
      <w:pPr>
        <w:widowControl w:val="0"/>
        <w:tabs>
          <w:tab w:val="left" w:pos="8188"/>
        </w:tabs>
        <w:spacing w:before="240" w:after="0"/>
        <w:jc w:val="both"/>
      </w:pPr>
      <w:r>
        <w:t xml:space="preserve">Możliwość zmian w strukturze </w:t>
      </w:r>
      <w:r>
        <w:t>skoroszytu – jak np. dodawanie lub usuwanie arkuszy – została zablokowana. W przypadku konieczności wypełnienia dodatkowych arkuszy – np. zawierających dane podmiotów współwnioskujących należy skorzystać z właściwych, dających się wielokrotnie powielać, ar</w:t>
      </w:r>
      <w:r>
        <w:t>kuszy, zebranych w dodatkowych skoroszytach. Skoroszyty takie noszą taką samą nazwę, jak wnioski, z którymi są powiązane, rozszerzoną o dopisek „_ark_wpolwn”.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476" w:name="_Toc500505052"/>
      <w:bookmarkStart w:id="477" w:name="_Toc500768233"/>
      <w:bookmarkStart w:id="478" w:name="_Toc500853298"/>
      <w:bookmarkStart w:id="479" w:name="_Toc8914913"/>
      <w:bookmarkStart w:id="480" w:name="_Toc9422425"/>
      <w:bookmarkStart w:id="481" w:name="_Toc9505037"/>
      <w:bookmarkStart w:id="482" w:name="_Toc9594619"/>
      <w:bookmarkStart w:id="483" w:name="_Toc9866933"/>
      <w:bookmarkStart w:id="484" w:name="_Toc9924637"/>
      <w:bookmarkStart w:id="485" w:name="_Toc10015020"/>
      <w:bookmarkStart w:id="486" w:name="_Toc10556777"/>
      <w:bookmarkStart w:id="487" w:name="_Toc10640678"/>
      <w:bookmarkStart w:id="488" w:name="_Toc10737204"/>
      <w:bookmarkStart w:id="489" w:name="_Toc10792850"/>
      <w:bookmarkStart w:id="490" w:name="_Toc10817326"/>
      <w:bookmarkStart w:id="491" w:name="_Toc13481641"/>
      <w:bookmarkStart w:id="492" w:name="_Toc13559327"/>
      <w:bookmarkStart w:id="493" w:name="_Toc13651213"/>
      <w:bookmarkStart w:id="494" w:name="_Toc14429180"/>
      <w:r>
        <w:t>„</w:t>
      </w:r>
      <w:bookmarkStart w:id="495" w:name="DodatArku"/>
      <w:r>
        <w:t xml:space="preserve">Dodatkowe arkusze </w:t>
      </w:r>
      <w:bookmarkEnd w:id="495"/>
      <w:r>
        <w:t>dla podmiotów współwnioskujących…” lub inaczej „_ark_wspolwn”</w:t>
      </w:r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p w:rsidR="00D814B8" w:rsidRDefault="0053412E">
      <w:pPr>
        <w:widowControl w:val="0"/>
        <w:tabs>
          <w:tab w:val="left" w:pos="8188"/>
        </w:tabs>
        <w:spacing w:before="240" w:after="0"/>
        <w:jc w:val="both"/>
      </w:pPr>
      <w:r>
        <w:t>W niektórych ope</w:t>
      </w:r>
      <w:r>
        <w:t>racjach – w poddziałaniu 19.2 i 19.3 – występują podmioty wspólnie wnioskujące o przyznanie pomocy lub o płatność. Aby zachować ochronę „integralności” skoroszytów zawierających wnioski oraz udostępnić możliwość nielimitowanego powielania dodatkowych arkus</w:t>
      </w:r>
      <w:r>
        <w:t>zy części wymagające powielenia zostały przeniesione do odrębnych plików „_ark_wspolwn”. Jeśli w dodatkowych arkuszach zabraknie miejsca na wpisanie potrzebnych informacji można (dowolną ilość razy) powielić arkusz, zawierający odpowiedni zakres informacji</w:t>
      </w:r>
      <w:r>
        <w:t>.</w:t>
      </w:r>
    </w:p>
    <w:tbl>
      <w:tblPr>
        <w:tblW w:w="1035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5"/>
        <w:gridCol w:w="4883"/>
      </w:tblGrid>
      <w:tr w:rsidR="00D814B8">
        <w:tblPrEx>
          <w:tblCellMar>
            <w:top w:w="0" w:type="dxa"/>
            <w:bottom w:w="0" w:type="dxa"/>
          </w:tblCellMar>
        </w:tblPrEx>
        <w:trPr>
          <w:trHeight w:val="3872"/>
        </w:trPr>
        <w:tc>
          <w:tcPr>
            <w:tcW w:w="54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tabs>
                <w:tab w:val="left" w:pos="8188"/>
              </w:tabs>
              <w:spacing w:after="0"/>
            </w:pPr>
            <w:r>
              <w:rPr>
                <w:sz w:val="20"/>
                <w:szCs w:val="20"/>
              </w:rPr>
              <w:lastRenderedPageBreak/>
              <w:t>Prawym klawiszem myszy klikamy na zakładce z nazwą formularza (w tym wypadku II_B) i wybieramy polecenie „</w:t>
            </w:r>
            <w:r>
              <w:rPr>
                <w:sz w:val="20"/>
                <w:szCs w:val="20"/>
                <w:u w:val="single"/>
              </w:rPr>
              <w:t>P</w:t>
            </w:r>
            <w:r>
              <w:rPr>
                <w:sz w:val="20"/>
                <w:szCs w:val="20"/>
              </w:rPr>
              <w:t>rzenieś lub kopiuj…”</w:t>
            </w: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</w:pPr>
            <w:r>
              <w:rPr>
                <w:sz w:val="20"/>
                <w:szCs w:val="20"/>
              </w:rPr>
              <w:object w:dxaOrig="4795" w:dyaOrig="3682">
                <v:shape id="Picture 40" o:spid="_x0000_i1077" type="#_x0000_t75" style="width:240pt;height:184.2pt;visibility:visible;mso-wrap-style:square" o:ole="">
                  <v:imagedata r:id="rId253" o:title=""/>
                </v:shape>
                <o:OLEObject Type="Embed" ProgID="PBrush" ShapeID="Picture 40" DrawAspect="Content" ObjectID="_1631184008" r:id="rId254"/>
              </w:objec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tabs>
                <w:tab w:val="left" w:pos="8188"/>
              </w:tabs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Pojawi się okno wyboru, w którym określamy:</w:t>
            </w:r>
          </w:p>
          <w:p w:rsidR="00D814B8" w:rsidRDefault="00D814B8">
            <w:pPr>
              <w:widowControl w:val="0"/>
              <w:tabs>
                <w:tab w:val="left" w:pos="8188"/>
              </w:tabs>
              <w:spacing w:after="0"/>
              <w:jc w:val="both"/>
              <w:rPr>
                <w:sz w:val="20"/>
                <w:szCs w:val="20"/>
              </w:rPr>
            </w:pP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  <w:jc w:val="both"/>
            </w:pPr>
            <w:r>
              <w:rPr>
                <w:sz w:val="20"/>
                <w:szCs w:val="20"/>
              </w:rPr>
              <w:object w:dxaOrig="4605" w:dyaOrig="3736">
                <v:shape id="Picture 41" o:spid="_x0000_i1078" type="#_x0000_t75" style="width:230.4pt;height:186.6pt;visibility:visible;mso-wrap-style:square" o:ole="">
                  <v:imagedata r:id="rId255" o:title=""/>
                </v:shape>
                <o:OLEObject Type="Embed" ProgID="PBrush" ShapeID="Picture 41" DrawAspect="Content" ObjectID="_1631184009" r:id="rId256"/>
              </w:object>
            </w: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  <w:ind w:left="181" w:hanging="1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skoroszyt, do którego zostanie skopiowany</w:t>
            </w:r>
            <w:r>
              <w:rPr>
                <w:sz w:val="20"/>
                <w:szCs w:val="20"/>
              </w:rPr>
              <w:t xml:space="preserve"> lub przeniesiony arkusz B_II (jeśli nie zmienimy ustawień, to kopia zostanie dodana w bieżącym skoroszycie)</w:t>
            </w: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  <w:ind w:left="181" w:hanging="1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miejsce w wybranym skoroszycie, w które zostanie wstawiony kopiowany arkusz</w:t>
            </w: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  <w:ind w:left="154" w:hanging="1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checkbox („kwadracik”), w którym zaznaczamy, czy arkusz ma zostać p</w:t>
            </w:r>
            <w:r>
              <w:rPr>
                <w:sz w:val="20"/>
                <w:szCs w:val="20"/>
              </w:rPr>
              <w:t xml:space="preserve">rzeniesiony we wskazane wyżej miejsce, czy też ma w tym miejscu powstać kopia (dodatkowy arkusz) – zawsze zaznaczajmy w tym polu „haczyk”! </w:t>
            </w:r>
          </w:p>
        </w:tc>
      </w:tr>
      <w:tr w:rsidR="00D814B8">
        <w:tblPrEx>
          <w:tblCellMar>
            <w:top w:w="0" w:type="dxa"/>
            <w:bottom w:w="0" w:type="dxa"/>
          </w:tblCellMar>
        </w:tblPrEx>
        <w:trPr>
          <w:trHeight w:val="2129"/>
        </w:trPr>
        <w:tc>
          <w:tcPr>
            <w:tcW w:w="1035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D814B8">
            <w:pPr>
              <w:widowControl w:val="0"/>
              <w:tabs>
                <w:tab w:val="left" w:pos="8188"/>
              </w:tabs>
              <w:spacing w:after="0"/>
              <w:jc w:val="center"/>
            </w:pP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  <w:jc w:val="center"/>
            </w:pPr>
            <w:r>
              <w:t xml:space="preserve">Gotowe! </w:t>
            </w:r>
            <w:r>
              <w:rPr>
                <w:rFonts w:ascii="Wingdings" w:eastAsia="Wingdings" w:hAnsi="Wingdings" w:cs="Wingdings"/>
              </w:rPr>
              <w:t></w:t>
            </w:r>
          </w:p>
          <w:p w:rsidR="00D814B8" w:rsidRDefault="0053412E">
            <w:pPr>
              <w:widowControl w:val="0"/>
              <w:tabs>
                <w:tab w:val="left" w:pos="8188"/>
              </w:tabs>
              <w:spacing w:after="0"/>
              <w:ind w:left="181" w:hanging="181"/>
              <w:jc w:val="center"/>
            </w:pPr>
            <w:r>
              <w:object w:dxaOrig="5271" w:dyaOrig="1481">
                <v:shape id="Picture 42" o:spid="_x0000_i1079" type="#_x0000_t75" style="width:263.4pt;height:73.8pt;visibility:visible;mso-wrap-style:square" o:ole="">
                  <v:imagedata r:id="rId257" o:title=""/>
                </v:shape>
                <o:OLEObject Type="Embed" ProgID="PBrush" ShapeID="Picture 42" DrawAspect="Content" ObjectID="_1631184010" r:id="rId258"/>
              </w:object>
            </w:r>
          </w:p>
        </w:tc>
      </w:tr>
    </w:tbl>
    <w:p w:rsidR="00D814B8" w:rsidRDefault="00D814B8">
      <w:pPr>
        <w:pStyle w:val="Nagwek2"/>
        <w:keepNext w:val="0"/>
        <w:keepLines w:val="0"/>
        <w:widowControl w:val="0"/>
        <w:spacing w:before="240"/>
      </w:pPr>
      <w:bookmarkStart w:id="496" w:name="_Toc10640679"/>
      <w:bookmarkStart w:id="497" w:name="_Toc9422426"/>
      <w:bookmarkStart w:id="498" w:name="_Toc9505038"/>
      <w:bookmarkStart w:id="499" w:name="_Toc9594620"/>
      <w:bookmarkStart w:id="500" w:name="_Toc9866934"/>
      <w:bookmarkStart w:id="501" w:name="_Toc9924638"/>
      <w:bookmarkStart w:id="502" w:name="_Toc10015021"/>
      <w:bookmarkStart w:id="503" w:name="_Toc10556778"/>
    </w:p>
    <w:p w:rsidR="00D814B8" w:rsidRDefault="00D814B8">
      <w:pPr>
        <w:spacing w:before="240" w:after="120"/>
        <w:rPr>
          <w:sz w:val="20"/>
          <w:szCs w:val="20"/>
        </w:rPr>
      </w:pPr>
    </w:p>
    <w:p w:rsidR="00D814B8" w:rsidRDefault="00D814B8">
      <w:pPr>
        <w:suppressAutoHyphens w:val="0"/>
      </w:pPr>
      <w:bookmarkStart w:id="504" w:name="_Toc10737205"/>
      <w:bookmarkStart w:id="505" w:name="_Toc10792851"/>
    </w:p>
    <w:p w:rsidR="00D814B8" w:rsidRDefault="0053412E">
      <w:pPr>
        <w:pStyle w:val="Nagwek2"/>
        <w:keepNext w:val="0"/>
        <w:keepLines w:val="0"/>
        <w:pageBreakBefore/>
        <w:widowControl w:val="0"/>
        <w:spacing w:before="240"/>
      </w:pPr>
      <w:bookmarkStart w:id="506" w:name="_Toc10817327"/>
      <w:bookmarkStart w:id="507" w:name="_Toc13481642"/>
      <w:bookmarkStart w:id="508" w:name="_Toc13559328"/>
      <w:bookmarkStart w:id="509" w:name="_Toc13651214"/>
      <w:bookmarkStart w:id="510" w:name="_Toc14429181"/>
      <w:r>
        <w:lastRenderedPageBreak/>
        <w:t>Podgląd wydruku oraz drukowanie formularzy wniosków</w:t>
      </w:r>
      <w:bookmarkEnd w:id="496"/>
      <w:bookmarkEnd w:id="504"/>
      <w:bookmarkEnd w:id="505"/>
      <w:bookmarkEnd w:id="506"/>
      <w:bookmarkEnd w:id="507"/>
      <w:bookmarkEnd w:id="508"/>
      <w:bookmarkEnd w:id="509"/>
      <w:bookmarkEnd w:id="510"/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511" w:name="_Toc10640680"/>
      <w:bookmarkStart w:id="512" w:name="_Toc10737206"/>
      <w:bookmarkStart w:id="513" w:name="_Toc10792852"/>
      <w:bookmarkStart w:id="514" w:name="_Toc10817328"/>
      <w:bookmarkStart w:id="515" w:name="_Toc13481643"/>
      <w:bookmarkStart w:id="516" w:name="_Toc13559329"/>
      <w:bookmarkStart w:id="517" w:name="_Toc13651215"/>
      <w:bookmarkStart w:id="518" w:name="_Toc14429182"/>
      <w:r>
        <w:t>Podgląd podziału stron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</w:p>
    <w:p w:rsidR="00D814B8" w:rsidRDefault="0053412E">
      <w:pPr>
        <w:spacing w:before="240" w:after="120"/>
        <w:rPr>
          <w:sz w:val="20"/>
          <w:szCs w:val="20"/>
        </w:rPr>
      </w:pPr>
      <w:r>
        <w:rPr>
          <w:sz w:val="20"/>
          <w:szCs w:val="20"/>
        </w:rPr>
        <w:t xml:space="preserve">Widok </w:t>
      </w:r>
      <w:r>
        <w:rPr>
          <w:sz w:val="20"/>
          <w:szCs w:val="20"/>
        </w:rPr>
        <w:t>formularza wniosku w trybie podglądu podziału stron.</w:t>
      </w:r>
    </w:p>
    <w:p w:rsidR="00D814B8" w:rsidRDefault="0053412E">
      <w:pPr>
        <w:widowControl w:val="0"/>
        <w:tabs>
          <w:tab w:val="left" w:pos="8188"/>
        </w:tabs>
        <w:spacing w:before="240" w:after="0"/>
        <w:jc w:val="center"/>
      </w:pPr>
      <w:r>
        <w:rPr>
          <w:noProof/>
          <w:lang w:eastAsia="pl-PL"/>
        </w:rPr>
        <w:drawing>
          <wp:inline distT="0" distB="0" distL="0" distR="0">
            <wp:extent cx="4964039" cy="4443828"/>
            <wp:effectExtent l="0" t="0" r="8011" b="0"/>
            <wp:docPr id="19" name="Obraz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039" cy="4443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tabs>
          <w:tab w:val="left" w:pos="8188"/>
        </w:tabs>
        <w:spacing w:before="120" w:after="0"/>
        <w:jc w:val="both"/>
      </w:pPr>
      <w:r>
        <w:rPr>
          <w:sz w:val="20"/>
          <w:szCs w:val="20"/>
        </w:rPr>
        <w:t>Jak widać powyżej granatowe linie (ciągłe lub przerywane) wyznaczają granice podziału formularza na poszczególne strony wydruku, zaś szare napisy „Strona …” wskazują kolejność, w jakiej strony będą dru</w:t>
      </w:r>
      <w:r>
        <w:rPr>
          <w:sz w:val="20"/>
          <w:szCs w:val="20"/>
        </w:rPr>
        <w:t xml:space="preserve">kowane. Aby uzyskać inny – niż proponowany – podział stron, należy najechać kursorem myszy na linię (pionową lub poziomą) podziału (kursor zmieni odpowiednio kształt na </w:t>
      </w:r>
      <w:r>
        <w:rPr>
          <w:rFonts w:ascii="Wingdings 3" w:eastAsia="Wingdings 3" w:hAnsi="Wingdings 3" w:cs="Wingdings 3"/>
          <w:sz w:val="24"/>
          <w:szCs w:val="24"/>
        </w:rPr>
        <w:t>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lub </w:t>
      </w:r>
      <w:r>
        <w:rPr>
          <w:rFonts w:ascii="Wingdings 3" w:eastAsia="Wingdings 3" w:hAnsi="Wingdings 3" w:cs="Wingdings 3"/>
          <w:sz w:val="24"/>
          <w:szCs w:val="24"/>
        </w:rPr>
        <w:t></w:t>
      </w:r>
      <w:r>
        <w:rPr>
          <w:sz w:val="20"/>
          <w:szCs w:val="20"/>
        </w:rPr>
        <w:t>), a następnie (trzymając cały czas wciśnięty klawisz myszy) przesunąć linię po</w:t>
      </w:r>
      <w:r>
        <w:rPr>
          <w:sz w:val="20"/>
          <w:szCs w:val="20"/>
        </w:rPr>
        <w:t>działu w pożądane miejsce.</w:t>
      </w:r>
    </w:p>
    <w:p w:rsidR="00D814B8" w:rsidRDefault="0053412E">
      <w:pPr>
        <w:widowControl w:val="0"/>
        <w:tabs>
          <w:tab w:val="left" w:pos="8188"/>
        </w:tabs>
        <w:spacing w:before="12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3517742" cy="2700186"/>
            <wp:effectExtent l="0" t="0" r="6508" b="4914"/>
            <wp:docPr id="20" name="Obraz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742" cy="2700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tabs>
          <w:tab w:val="left" w:pos="8188"/>
        </w:tabs>
        <w:spacing w:before="120"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Poziomą linię podziału „przeciągnięto” na koniec (dolny) obszaru wydruku – z czterech stron „zrobiły się” dwie.</w:t>
      </w:r>
    </w:p>
    <w:p w:rsidR="00D814B8" w:rsidRDefault="0053412E">
      <w:pPr>
        <w:widowControl w:val="0"/>
        <w:tabs>
          <w:tab w:val="left" w:pos="8188"/>
        </w:tabs>
        <w:spacing w:before="120" w:after="0"/>
        <w:jc w:val="center"/>
      </w:pPr>
      <w:r>
        <w:rPr>
          <w:i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3531138" cy="2749628"/>
            <wp:effectExtent l="0" t="0" r="0" b="0"/>
            <wp:docPr id="21" name="Obraz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1138" cy="2749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tabs>
          <w:tab w:val="left" w:pos="8188"/>
        </w:tabs>
        <w:spacing w:before="120"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Następnie pionową linię podziału przesunięto do prawej krawędzi obszaru wydruku „upychając” cały arkusz ZRF na </w:t>
      </w:r>
      <w:r>
        <w:rPr>
          <w:i/>
          <w:sz w:val="18"/>
          <w:szCs w:val="18"/>
        </w:rPr>
        <w:t>jednej stronie.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519" w:name="_Toc10640681"/>
      <w:bookmarkStart w:id="520" w:name="_Toc10737207"/>
      <w:bookmarkStart w:id="521" w:name="_Toc10792853"/>
      <w:bookmarkStart w:id="522" w:name="_Toc10817329"/>
      <w:bookmarkStart w:id="523" w:name="_Toc13481644"/>
      <w:bookmarkStart w:id="524" w:name="_Toc13559330"/>
      <w:bookmarkStart w:id="525" w:name="_Toc13651216"/>
      <w:bookmarkStart w:id="526" w:name="_Toc14429183"/>
      <w:r>
        <w:t>Podgląd wydruku</w:t>
      </w:r>
      <w:bookmarkEnd w:id="519"/>
      <w:bookmarkEnd w:id="520"/>
      <w:bookmarkEnd w:id="521"/>
      <w:bookmarkEnd w:id="522"/>
      <w:bookmarkEnd w:id="523"/>
      <w:bookmarkEnd w:id="524"/>
      <w:bookmarkEnd w:id="525"/>
      <w:bookmarkEnd w:id="526"/>
    </w:p>
    <w:p w:rsidR="00D814B8" w:rsidRDefault="0053412E">
      <w:pPr>
        <w:widowControl w:val="0"/>
        <w:tabs>
          <w:tab w:val="left" w:pos="8188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Excel nie jest edydotrem tekstu – to co widać (lub czego nie widać) na formularzu może być (lub niekoniecznie będzie) widoczne na wydruku. Często zdarza się, że wartość wpisana do komórki nie jest całkowicie widoczna (patrz </w:t>
      </w:r>
      <w:r>
        <w:rPr>
          <w:sz w:val="20"/>
          <w:szCs w:val="20"/>
        </w:rPr>
        <w:t>przykład poniżej).</w:t>
      </w:r>
    </w:p>
    <w:p w:rsidR="00D814B8" w:rsidRDefault="0053412E">
      <w:pPr>
        <w:widowControl w:val="0"/>
        <w:tabs>
          <w:tab w:val="left" w:pos="8188"/>
        </w:tabs>
        <w:spacing w:before="24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705164" cy="2378674"/>
            <wp:effectExtent l="0" t="0" r="186" b="2576"/>
            <wp:docPr id="22" name="Obraz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164" cy="2378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tabs>
          <w:tab w:val="left" w:pos="8188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Aby upewnić się, że twórcy formularza nie popełnili błędu i nie zdefiniowali zbyt małych pól (nie mieszczących wprowadzonych doń wartości) należy uruchomić podgląd wydruku – poprzez kombinację klawiszy [Ctrl] + [P] lub…</w:t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8"/>
        <w:gridCol w:w="5228"/>
      </w:tblGrid>
      <w:tr w:rsidR="00D814B8">
        <w:tblPrEx>
          <w:tblCellMar>
            <w:top w:w="0" w:type="dxa"/>
            <w:bottom w:w="0" w:type="dxa"/>
          </w:tblCellMar>
        </w:tblPrEx>
        <w:tc>
          <w:tcPr>
            <w:tcW w:w="5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tabs>
                <w:tab w:val="left" w:pos="8188"/>
              </w:tabs>
              <w:spacing w:before="240" w:after="0"/>
            </w:pPr>
            <w:r>
              <w:rPr>
                <w:sz w:val="20"/>
                <w:szCs w:val="20"/>
              </w:rPr>
              <w:t>na wstążce wybi</w:t>
            </w:r>
            <w:r>
              <w:rPr>
                <w:sz w:val="20"/>
                <w:szCs w:val="20"/>
              </w:rPr>
              <w:t xml:space="preserve">erając myszką zakładkę „PLIK” </w:t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932739" cy="339461"/>
                  <wp:effectExtent l="0" t="0" r="0" b="3439"/>
                  <wp:docPr id="23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39" cy="33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tabs>
                <w:tab w:val="left" w:pos="8188"/>
              </w:tabs>
              <w:spacing w:before="24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uruchomić polecenie „Drukuj”</w:t>
            </w:r>
          </w:p>
          <w:p w:rsidR="00D814B8" w:rsidRDefault="0053412E">
            <w:pPr>
              <w:widowControl w:val="0"/>
              <w:tabs>
                <w:tab w:val="left" w:pos="8188"/>
              </w:tabs>
              <w:spacing w:before="240" w:after="0"/>
              <w:jc w:val="both"/>
            </w:pPr>
            <w:r>
              <w:object w:dxaOrig="978" w:dyaOrig="2282">
                <v:shape id="_x0000_i1080" type="#_x0000_t75" style="width:49.2pt;height:114pt;visibility:visible;mso-wrap-style:square" o:ole="">
                  <v:imagedata r:id="rId264" o:title=""/>
                </v:shape>
                <o:OLEObject Type="Embed" ProgID="PBrush" ShapeID="_x0000_i1080" DrawAspect="Content" ObjectID="_1631184011" r:id="rId265"/>
              </w:object>
            </w:r>
          </w:p>
        </w:tc>
      </w:tr>
    </w:tbl>
    <w:p w:rsidR="00D814B8" w:rsidRDefault="00D814B8"/>
    <w:p w:rsidR="00D814B8" w:rsidRDefault="00D814B8">
      <w:pPr>
        <w:pageBreakBefore/>
        <w:suppressAutoHyphens w:val="0"/>
        <w:rPr>
          <w:sz w:val="20"/>
          <w:szCs w:val="20"/>
        </w:rPr>
      </w:pPr>
    </w:p>
    <w:p w:rsidR="00D814B8" w:rsidRDefault="0053412E">
      <w:pPr>
        <w:widowControl w:val="0"/>
        <w:tabs>
          <w:tab w:val="left" w:pos="5336"/>
        </w:tabs>
        <w:spacing w:before="240"/>
        <w:rPr>
          <w:sz w:val="20"/>
          <w:szCs w:val="20"/>
        </w:rPr>
      </w:pPr>
      <w:r>
        <w:rPr>
          <w:sz w:val="20"/>
          <w:szCs w:val="20"/>
        </w:rPr>
        <w:t>Jak widać poniżej, w przypadku „Deklaracji” jednak wszystko się ładnie mieści…</w:t>
      </w:r>
    </w:p>
    <w:p w:rsidR="00D814B8" w:rsidRDefault="0053412E">
      <w:pPr>
        <w:widowControl w:val="0"/>
        <w:tabs>
          <w:tab w:val="left" w:pos="5336"/>
        </w:tabs>
        <w:spacing w:before="240"/>
        <w:ind w:left="108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561700" cy="7668524"/>
            <wp:effectExtent l="0" t="0" r="900" b="8626"/>
            <wp:docPr id="24" name="Obraz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700" cy="76685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tabs>
          <w:tab w:val="left" w:pos="5336"/>
        </w:tabs>
        <w:spacing w:before="240"/>
        <w:ind w:left="1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Niestety może zdarzyć się także, że wartość widoczna na formularzu w podglądzie wydruku </w:t>
      </w:r>
      <w:r>
        <w:rPr>
          <w:sz w:val="20"/>
          <w:szCs w:val="20"/>
        </w:rPr>
        <w:t xml:space="preserve">okaże się ciągiem znaków „#”. W takim przypadku powiększenie obszaru komórki (zwiększenie jej szerokości lub wysokości) może być rozwiązaniem problemu. Jeśli tak nie jest może to oznaczać, że otwarto formularz *.xlsx w niższej wersji programu MS Excel niż </w:t>
      </w:r>
      <w:r>
        <w:rPr>
          <w:sz w:val="20"/>
          <w:szCs w:val="20"/>
        </w:rPr>
        <w:t>wersja, w którym go stworzono. W takim przypadku rozwiązaniem może być skorzystanie z uprzejmości posiadacza wyższej wersji excela.</w:t>
      </w:r>
    </w:p>
    <w:p w:rsidR="00D814B8" w:rsidRDefault="00D814B8">
      <w:pPr>
        <w:widowControl w:val="0"/>
        <w:tabs>
          <w:tab w:val="left" w:pos="5336"/>
        </w:tabs>
        <w:spacing w:before="240"/>
        <w:ind w:left="108"/>
        <w:rPr>
          <w:sz w:val="20"/>
          <w:szCs w:val="20"/>
        </w:rPr>
      </w:pPr>
    </w:p>
    <w:p w:rsidR="00D814B8" w:rsidRDefault="00D814B8">
      <w:pPr>
        <w:suppressAutoHyphens w:val="0"/>
      </w:pPr>
      <w:bookmarkStart w:id="527" w:name="_Toc10640682"/>
      <w:bookmarkStart w:id="528" w:name="_Toc10737208"/>
      <w:bookmarkStart w:id="529" w:name="_Toc10792854"/>
    </w:p>
    <w:p w:rsidR="00D814B8" w:rsidRDefault="0053412E">
      <w:pPr>
        <w:pStyle w:val="Nagwek1"/>
        <w:keepNext w:val="0"/>
        <w:keepLines w:val="0"/>
        <w:pageBreakBefore/>
        <w:widowControl w:val="0"/>
        <w:spacing w:before="0"/>
      </w:pPr>
      <w:bookmarkStart w:id="530" w:name="_Toc10817330"/>
      <w:bookmarkStart w:id="531" w:name="_Toc13481645"/>
      <w:bookmarkStart w:id="532" w:name="_Toc13559331"/>
      <w:bookmarkStart w:id="533" w:name="_Toc13651217"/>
      <w:bookmarkStart w:id="534" w:name="_Toc14429184"/>
      <w:r>
        <w:lastRenderedPageBreak/>
        <w:t>Odniesienia szczegółowe do poszczególnych formularzy wniosków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</w:p>
    <w:p w:rsidR="00D814B8" w:rsidRDefault="0053412E">
      <w:pPr>
        <w:pStyle w:val="Nagwek2"/>
        <w:keepNext w:val="0"/>
        <w:keepLines w:val="0"/>
        <w:widowControl w:val="0"/>
        <w:spacing w:before="240"/>
      </w:pPr>
      <w:bookmarkStart w:id="535" w:name="_Toc9422427"/>
      <w:bookmarkStart w:id="536" w:name="_Toc9505039"/>
      <w:bookmarkStart w:id="537" w:name="_Toc9594621"/>
      <w:bookmarkStart w:id="538" w:name="_Toc9866935"/>
      <w:bookmarkStart w:id="539" w:name="_Toc9924639"/>
      <w:bookmarkStart w:id="540" w:name="_Toc10015022"/>
      <w:bookmarkStart w:id="541" w:name="_Toc10556779"/>
      <w:bookmarkStart w:id="542" w:name="_Toc10640683"/>
      <w:bookmarkStart w:id="543" w:name="_Toc10737209"/>
      <w:bookmarkStart w:id="544" w:name="_Toc10792855"/>
      <w:bookmarkStart w:id="545" w:name="_Toc10817331"/>
      <w:bookmarkStart w:id="546" w:name="_Toc13481646"/>
      <w:bookmarkStart w:id="547" w:name="_Toc13559332"/>
      <w:bookmarkStart w:id="548" w:name="_Toc13651218"/>
      <w:bookmarkStart w:id="549" w:name="_Toc14429185"/>
      <w:r>
        <w:t>Poddziałanie 19.2 – operacje inne/własne</w:t>
      </w:r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550" w:name="_Toc9422428"/>
      <w:bookmarkStart w:id="551" w:name="_Toc9505040"/>
      <w:bookmarkStart w:id="552" w:name="_Toc9594622"/>
      <w:bookmarkStart w:id="553" w:name="_Toc9866936"/>
      <w:bookmarkStart w:id="554" w:name="_Toc9924640"/>
      <w:bookmarkStart w:id="555" w:name="_Toc10015023"/>
      <w:bookmarkStart w:id="556" w:name="_Toc10556780"/>
      <w:bookmarkStart w:id="557" w:name="_Toc10640684"/>
      <w:bookmarkStart w:id="558" w:name="_Toc10737210"/>
      <w:bookmarkStart w:id="559" w:name="_Toc10792856"/>
      <w:bookmarkStart w:id="560" w:name="_Toc10817332"/>
      <w:bookmarkStart w:id="561" w:name="_Toc13481647"/>
      <w:bookmarkStart w:id="562" w:name="_Toc13559333"/>
      <w:bookmarkStart w:id="563" w:name="_Toc13651219"/>
      <w:bookmarkStart w:id="564" w:name="_Toc14429186"/>
      <w:r>
        <w:t>Wniosek o przyznani</w:t>
      </w:r>
      <w:r>
        <w:t>e pomocy (W-1_19.2)</w:t>
      </w:r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565" w:name="_Toc9422429"/>
      <w:bookmarkStart w:id="566" w:name="_Toc9505041"/>
      <w:bookmarkStart w:id="567" w:name="_Toc9594623"/>
      <w:bookmarkStart w:id="568" w:name="_Toc9866937"/>
      <w:bookmarkStart w:id="569" w:name="_Toc9924641"/>
      <w:bookmarkStart w:id="570" w:name="_Toc10015024"/>
      <w:bookmarkStart w:id="571" w:name="_Toc10556781"/>
      <w:bookmarkStart w:id="572" w:name="_Toc10640685"/>
      <w:bookmarkStart w:id="573" w:name="_Toc10737211"/>
      <w:bookmarkStart w:id="574" w:name="_Toc10792857"/>
      <w:bookmarkStart w:id="575" w:name="_Toc10817333"/>
      <w:bookmarkStart w:id="576" w:name="_Toc13481648"/>
      <w:bookmarkStart w:id="577" w:name="_Toc13559334"/>
      <w:bookmarkStart w:id="578" w:name="_Toc13651220"/>
      <w:bookmarkStart w:id="579" w:name="_Toc14429187"/>
      <w:r>
        <w:t>Wniosek o płatność (W-2_19.2)</w:t>
      </w:r>
      <w:bookmarkEnd w:id="565"/>
      <w:bookmarkEnd w:id="566"/>
      <w:bookmarkEnd w:id="567"/>
      <w:bookmarkEnd w:id="568"/>
      <w:bookmarkEnd w:id="569"/>
      <w:bookmarkEnd w:id="570"/>
      <w:r>
        <w:t xml:space="preserve"> – wersja 4.z</w:t>
      </w:r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580" w:name="_Toc10556782"/>
      <w:bookmarkStart w:id="581" w:name="_Toc10640686"/>
      <w:bookmarkStart w:id="582" w:name="_Toc10737212"/>
      <w:bookmarkStart w:id="583" w:name="_Toc10792858"/>
      <w:bookmarkStart w:id="584" w:name="_Toc10817334"/>
      <w:bookmarkStart w:id="585" w:name="_Toc13481649"/>
      <w:bookmarkStart w:id="586" w:name="_Toc13559335"/>
      <w:bookmarkStart w:id="587" w:name="_Toc13651221"/>
      <w:bookmarkStart w:id="588" w:name="_Toc14429188"/>
      <w:bookmarkStart w:id="589" w:name="_Toc500339116"/>
      <w:bookmarkStart w:id="590" w:name="_Toc500423460"/>
      <w:bookmarkStart w:id="591" w:name="_Toc500505056"/>
      <w:bookmarkStart w:id="592" w:name="_Toc500768237"/>
      <w:bookmarkStart w:id="593" w:name="_Toc500853302"/>
      <w:bookmarkStart w:id="594" w:name="_Toc8914917"/>
      <w:r>
        <w:t>Sekcja tytułowa (arkusz I_IV)</w:t>
      </w:r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</w:p>
    <w:p w:rsidR="00D814B8" w:rsidRDefault="0053412E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</w:t>
      </w:r>
      <w:r>
        <w:rPr>
          <w:sz w:val="20"/>
          <w:szCs w:val="20"/>
        </w:rPr>
        <w:t xml:space="preserve">UM. Na formularzu *.xlsx 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595" w:name="_Toc10556783"/>
      <w:bookmarkStart w:id="596" w:name="_Toc10640687"/>
      <w:bookmarkStart w:id="597" w:name="_Toc10737213"/>
      <w:bookmarkStart w:id="598" w:name="_Toc10792859"/>
      <w:bookmarkStart w:id="599" w:name="_Toc10817335"/>
      <w:bookmarkStart w:id="600" w:name="_Toc13481650"/>
      <w:bookmarkStart w:id="601" w:name="_Toc13559336"/>
      <w:bookmarkStart w:id="602" w:name="_Toc13651222"/>
      <w:bookmarkStart w:id="603" w:name="_Toc14429189"/>
      <w:r>
        <w:t>I. CZĘŚĆ OGÓLNA (arkusz I_IV)</w:t>
      </w:r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Wniosek dotyczy: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„1.2 operacji własnej LGD” znajduje się predefiniowany (wstawiony automatycznie) znak „X” – pole jest zablokowane, jeżeli: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polu 1.1 wstawimy </w:t>
      </w:r>
      <w:r>
        <w:rPr>
          <w:rFonts w:eastAsia="Times New Roman"/>
          <w:sz w:val="20"/>
          <w:szCs w:val="20"/>
        </w:rPr>
        <w:t>znak „X”, to zostanie on automatycznie usunięty z pola 1.2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jeżeli z pola 1.1 usuniemy (wstawiony uprzednio) znak „X”, to zostanie on automatycznie wstawiony do pola 1.2</w:t>
      </w:r>
    </w:p>
    <w:p w:rsidR="00D814B8" w:rsidRDefault="0053412E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Takie rozwiązanie zapewnia, że „X” zawsze znajduje się tylko w jednym polu, oraz że w ż</w:t>
      </w:r>
      <w:r>
        <w:rPr>
          <w:rFonts w:eastAsia="Times New Roman"/>
          <w:sz w:val="20"/>
          <w:szCs w:val="20"/>
        </w:rPr>
        <w:t>adnym wypadku oba pola nie będą puste.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2. Cel złożenia formularza wniosku o płatność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bCs/>
          <w:sz w:val="20"/>
          <w:szCs w:val="20"/>
        </w:rPr>
        <w:t>Pole 3. Rodzaj płatności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D814B8" w:rsidRDefault="0053412E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Z postanowi</w:t>
      </w:r>
      <w:r>
        <w:rPr>
          <w:b/>
          <w:sz w:val="20"/>
          <w:szCs w:val="20"/>
        </w:rPr>
        <w:t>eń umowy wynika obowiązek utworzenia / utrzymania miejsc(a) pracy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D814B8" w:rsidRDefault="0053412E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Operacja jest dedykowana grupie(-om) defaworyzowanej(-ym), określonej(-ym) w LSR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</w:t>
      </w:r>
      <w:r>
        <w:rPr>
          <w:sz w:val="20"/>
          <w:szCs w:val="20"/>
        </w:rPr>
        <w:t>yboru: TAK albo NIE.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wybrania odpowiedzi „TAK” w polu 5.1 pojawi się przypomnienie „podaj liczbę grup defawotyzowanych”, jeżeli wybrana zostanie odpowiedź „NIE” w polu 5.1 zostanie automatycznie wprowadzona wartość „0”.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 xml:space="preserve">Pole 5.1 Liczba grup </w:t>
      </w:r>
      <w:r>
        <w:rPr>
          <w:b/>
          <w:sz w:val="20"/>
          <w:szCs w:val="20"/>
        </w:rPr>
        <w:t>defaworyzowanych, do których dedykowana jest operacja</w:t>
      </w:r>
      <w:r>
        <w:rPr>
          <w:sz w:val="20"/>
          <w:szCs w:val="20"/>
        </w:rPr>
        <w:t xml:space="preserve"> </w:t>
      </w:r>
    </w:p>
    <w:p w:rsidR="00D814B8" w:rsidRDefault="0053412E">
      <w:pPr>
        <w:widowControl w:val="0"/>
        <w:spacing w:before="240" w:after="0"/>
        <w:jc w:val="both"/>
      </w:pPr>
      <w:r>
        <w:rPr>
          <w:sz w:val="20"/>
          <w:szCs w:val="20"/>
        </w:rPr>
        <w:t>W tym polu można wpisać tylko liczbę całkowitą, większą lub równą „0”.</w:t>
      </w:r>
    </w:p>
    <w:p w:rsidR="00D814B8" w:rsidRDefault="0053412E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5.2 Operacja jest dedykowana grupie defaworyzowanej poprzez utworzenie/utrzymanie miejsc(a) pracy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</w:t>
      </w:r>
      <w:r>
        <w:rPr>
          <w:sz w:val="20"/>
          <w:szCs w:val="20"/>
        </w:rPr>
        <w:t>ści z listy wyboru: TAK albo NIE.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Operacja obejmująca wyposażenie mające na celu szerzenie lokalnej kultury i dziedzictwa lokalnego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TAK, NIE albo ND.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7. Operacja współfinansowana z innych środków </w:t>
      </w:r>
      <w:r>
        <w:rPr>
          <w:b/>
          <w:sz w:val="20"/>
          <w:szCs w:val="20"/>
        </w:rPr>
        <w:t>publicznych przez organizację pozarządową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TAK, NIE albo ND.</w:t>
      </w:r>
    </w:p>
    <w:p w:rsidR="00D814B8" w:rsidRDefault="00D814B8">
      <w:pPr>
        <w:suppressAutoHyphens w:val="0"/>
      </w:pPr>
      <w:bookmarkStart w:id="604" w:name="_Toc10556784"/>
      <w:bookmarkStart w:id="605" w:name="_Toc10640688"/>
    </w:p>
    <w:p w:rsidR="00D814B8" w:rsidRDefault="0053412E">
      <w:pPr>
        <w:pStyle w:val="Nagwek4"/>
        <w:keepNext w:val="0"/>
        <w:keepLines w:val="0"/>
        <w:pageBreakBefore/>
        <w:widowControl w:val="0"/>
        <w:spacing w:before="240"/>
      </w:pPr>
      <w:bookmarkStart w:id="606" w:name="_Toc10737214"/>
      <w:bookmarkStart w:id="607" w:name="_Toc10792860"/>
      <w:bookmarkStart w:id="608" w:name="_Toc10817336"/>
      <w:bookmarkStart w:id="609" w:name="_Toc13481651"/>
      <w:bookmarkStart w:id="610" w:name="_Toc13559337"/>
      <w:bookmarkStart w:id="611" w:name="_Toc13651223"/>
      <w:bookmarkStart w:id="612" w:name="_Toc14429190"/>
      <w:r>
        <w:lastRenderedPageBreak/>
        <w:t>II. DANE IDENTYFIKACYJNE BENEFICJENTA (arkusz I_IV)</w:t>
      </w:r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Liczba podmiotów wspólnie wnioskujących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całkowitą, </w:t>
      </w:r>
      <w:r>
        <w:rPr>
          <w:sz w:val="20"/>
          <w:szCs w:val="20"/>
        </w:rPr>
        <w:t>większą od „0” – w przypadku jeśli wnioskuje tylko jeden podmiot wartość w tym polu powinna być równa „1”.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Imię i nazwisko/Nazwa Benefic</w:t>
      </w:r>
      <w:r>
        <w:rPr>
          <w:b/>
          <w:sz w:val="20"/>
          <w:szCs w:val="20"/>
        </w:rPr>
        <w:t>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</w:t>
      </w:r>
      <w:r>
        <w:rPr>
          <w:sz w:val="20"/>
          <w:szCs w:val="20"/>
        </w:rPr>
        <w:t>Numer Identyfikacyjny, NIP i REGON – w przypadku wpisania krótszego ciągu (zawierającego mniej niż wymaganą liczbę znaków) maska wprowadzania uzupełni ciąg o brakującą liczbę znaków, wstawiając zera na początku ciągu!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Adres Beneficjenta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Pole 6.1 </w:t>
      </w:r>
      <w:r>
        <w:rPr>
          <w:sz w:val="20"/>
          <w:szCs w:val="20"/>
        </w:rPr>
        <w:t>jest zablokowane z wprowadzoną (bez możliwości edycji) wartością „Polska”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6.2 należy wybrać, przy pomocy listy rozwijalnej, województwo.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6.5 należy wpisać ciąg pięciu cyfr bez znaku „-” – maska wprowadzania wyświetli kod w formacie ##-###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</w:t>
      </w:r>
      <w:r>
        <w:rPr>
          <w:sz w:val="20"/>
          <w:szCs w:val="20"/>
        </w:rPr>
        <w:t>ostałe pola w tej części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Adres do korespondencji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Ponieważ adres korespondencyjny nie musi dotyczyć Polski, dlatego w polu 7.1 należy wybrać z dostępnej listy właściwy kraj, z któr</w:t>
      </w:r>
      <w:r>
        <w:rPr>
          <w:sz w:val="20"/>
          <w:szCs w:val="20"/>
        </w:rPr>
        <w:t>ym powiązany jest adres do korespondencji. Jeżeli zostanie wybrana Polska, wtedy z pól 7.2, 7.3 i 7.4 zostaną usunięte wartości „nie dotyczy”, a w polu 7.2 trzeba będzie wybrać z listy odpowiednie województwo. W przypadku wybrania w polu 7.1 wartości warto</w:t>
      </w:r>
      <w:r>
        <w:rPr>
          <w:sz w:val="20"/>
          <w:szCs w:val="20"/>
        </w:rPr>
        <w:t>ści innej niż „Polska” ww. pola pozostaną wypełnione wartością „nie dotyczy”.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7.5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8. Dane osób upoważnionych do reprezentowania Beneficjenta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Dostępne są wszystkie pola w czterech kolumnach tabeli – z wyłączeniem wiersza będącego jej nagłówkiem.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osób upoważnionych należy dodawać zgodnie z „mini-instrukcjami” opisanymi w ogólnych wskazówkach </w:t>
      </w:r>
      <w:hyperlink r:id="rId267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9. Dane pełnomocnika Beneficjenta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9.3 do 9.6 wypełnia się analogicznie jak pola w zakresie od 7.1 do 7.4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9.7 Kod pocztowy) nie zawierają żadnych reguł – można w nie wpisać dowolny ci</w:t>
      </w:r>
      <w:r>
        <w:rPr>
          <w:sz w:val="20"/>
          <w:szCs w:val="20"/>
        </w:rPr>
        <w:t>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10. Dane osoby uprawnionej do kontaktu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w tej części nie zawierają żadnych reguł – można w nie wpisać dowolny ciąg znakow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13" w:name="_Toc10556785"/>
      <w:bookmarkStart w:id="614" w:name="_Toc10640689"/>
      <w:bookmarkStart w:id="615" w:name="_Toc10737215"/>
      <w:bookmarkStart w:id="616" w:name="_Toc10792861"/>
      <w:bookmarkStart w:id="617" w:name="_Toc10817337"/>
      <w:bookmarkStart w:id="618" w:name="_Toc13481652"/>
      <w:bookmarkStart w:id="619" w:name="_Toc13559338"/>
      <w:bookmarkStart w:id="620" w:name="_Toc13651224"/>
      <w:bookmarkStart w:id="621" w:name="_Toc14429191"/>
      <w:r>
        <w:lastRenderedPageBreak/>
        <w:t>III. DANE Z UMOWY O PRZYZNANIU POMOCY (arkusz I_IV)</w:t>
      </w:r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1. Nazwa Funduszu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zablokowane, wypełnione na stałe wa</w:t>
      </w:r>
      <w:r>
        <w:rPr>
          <w:sz w:val="20"/>
          <w:szCs w:val="20"/>
        </w:rPr>
        <w:t>rtością „Europejski Fundusz Rolny na rzecz Rozwoju Obszarów Wiejskich”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Numer umowy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Należy uzupełnić brakujące elementy numeru umowy: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 – np. w przypadku 00001 trzeba wpisać każdą cyfrę, takż</w:t>
      </w:r>
      <w:r>
        <w:rPr>
          <w:rFonts w:eastAsia="Times New Roman"/>
          <w:sz w:val="20"/>
          <w:szCs w:val="20"/>
        </w:rPr>
        <w:t>e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dwucyfrowy kod UM, wybierany z listy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dwucyfrowe oznaczenie roku podpisania umowy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Data zawarcia umowy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 xml:space="preserve">Należy podać datę w formacie: dd-mm-rrrr – reguła poprawności pilnuje aby nie </w:t>
      </w:r>
      <w:r>
        <w:rPr>
          <w:rFonts w:eastAsia="Times New Roman"/>
          <w:sz w:val="20"/>
          <w:szCs w:val="20"/>
        </w:rPr>
        <w:t>była to data wcześniejsza niż 01-01-2016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Kwota pomocy z umowy przyznana dla całej operacji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Reguła poprawności pilnuje tylko aby w tym polu wpisywać liczbę – nie ma żadnych dodatkowych walidacji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Pole 5. Kwota pomocy z umowy przyznana dla danego </w:t>
      </w:r>
      <w:r>
        <w:rPr>
          <w:rFonts w:eastAsia="Times New Roman"/>
          <w:b/>
          <w:sz w:val="20"/>
          <w:szCs w:val="20"/>
        </w:rPr>
        <w:t>etapu operacji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Reguła poprawności pilnuje aby w tym polu można było wpisać tylko liczbę oraz by liczba ta nie była większa niż podana w polu 4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22" w:name="_Toc10556786"/>
      <w:bookmarkStart w:id="623" w:name="_Toc10640690"/>
      <w:bookmarkStart w:id="624" w:name="_Toc10737216"/>
      <w:bookmarkStart w:id="625" w:name="_Toc10792862"/>
      <w:bookmarkStart w:id="626" w:name="_Toc10817338"/>
      <w:bookmarkStart w:id="627" w:name="_Toc13481653"/>
      <w:bookmarkStart w:id="628" w:name="_Toc13559339"/>
      <w:bookmarkStart w:id="629" w:name="_Toc13651225"/>
      <w:bookmarkStart w:id="630" w:name="_Toc14429192"/>
      <w:r>
        <w:t>IV. DANE DOTYCZĄCE WNIOSKU O PŁATNOŚĆ (arkusz I_IV)</w:t>
      </w:r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Wniosek za okres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okres, za jaki składany</w:t>
      </w:r>
      <w:r>
        <w:rPr>
          <w:rFonts w:eastAsia="Times New Roman"/>
          <w:sz w:val="20"/>
          <w:szCs w:val="20"/>
        </w:rPr>
        <w:t xml:space="preserve"> jest wniosek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 formacie: dd-mm-rrrr: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„od…” pole jest zablokowane – formuła automatycznie „ściągnie” wartość z pola III.3 Data zawarcia umowy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„do….” reguła poprawności pilnuje aby data „do” była późniejsza niż data „od”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Formularz</w:t>
      </w:r>
      <w:r>
        <w:rPr>
          <w:rFonts w:eastAsia="Times New Roman"/>
          <w:sz w:val="20"/>
          <w:szCs w:val="20"/>
        </w:rPr>
        <w:t xml:space="preserve"> wniosku </w:t>
      </w:r>
      <w:r>
        <w:rPr>
          <w:rFonts w:eastAsia="Times New Roman"/>
          <w:b/>
          <w:sz w:val="20"/>
          <w:szCs w:val="20"/>
        </w:rPr>
        <w:t>nie sumuje</w:t>
      </w:r>
      <w:r>
        <w:rPr>
          <w:rFonts w:eastAsia="Times New Roman"/>
          <w:sz w:val="20"/>
          <w:szCs w:val="20"/>
        </w:rPr>
        <w:t xml:space="preserve"> automatycznie wartości z pól od IV.A.6.1 do IV.A.6.6.2 w części „IV.A. Dane podmiotów wspólnie wnioskujących o płatność w danym etapie operacji”!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O arkusza (poza obszarem wydruku), na wysokości pola 4. znajduje się pole wybor</w:t>
      </w:r>
      <w:r>
        <w:rPr>
          <w:sz w:val="20"/>
          <w:szCs w:val="20"/>
        </w:rPr>
        <w:t xml:space="preserve">u zatytułowane „Zwrotnica nr 1”.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12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496129" cy="1168054"/>
            <wp:effectExtent l="0" t="0" r="9321" b="0"/>
            <wp:docPr id="25" name="Obraz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129" cy="11680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Gdy wnioskuje tylko jeden podmiot w polu wyświetla się wartość „(wybierz listy)” (jak na podanym wyżej przykładzie).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 zatem wybrać z listy odpowiedź „TAK” albo „NIE”: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przypadku „TAK” należy wprowadzić kwotę </w:t>
      </w:r>
      <w:r>
        <w:rPr>
          <w:rFonts w:eastAsia="Times New Roman"/>
          <w:sz w:val="20"/>
          <w:szCs w:val="20"/>
        </w:rPr>
        <w:t>kosztów całkowitych (2.), kwotę kosztów kwalifikowalnych (4.) oraz wnioskowaną kwotę pomocy (5.) – reguła poprawności „pilnuje” aby wnioskowana kwota pomocy była mniejsza lub równa 63,63% kwoty kosztów kwalifikowalnych: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</w:t>
      </w:r>
      <w:r>
        <w:rPr>
          <w:rFonts w:eastAsia="Times New Roman"/>
          <w:sz w:val="20"/>
          <w:szCs w:val="20"/>
        </w:rPr>
        <w:t>iczone automatycznie (pole 3. = pole 2. – pole 4.)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5.1 = pole 5.)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5.2 = 0 /zero/)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obliczony</w:t>
      </w:r>
      <w:r>
        <w:rPr>
          <w:rFonts w:eastAsia="Times New Roman"/>
          <w:sz w:val="20"/>
          <w:szCs w:val="20"/>
        </w:rPr>
        <w:t xml:space="preserve"> automatycznie (pole 6. = pole 3. – pole 5.1)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68194" cy="2216030"/>
            <wp:effectExtent l="0" t="0" r="0" b="0"/>
            <wp:docPr id="26" name="Obraz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194" cy="22160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„NIE” należy wprowadzić kwotę kosztów całkowitych (2.), kwotę kosztów kwalifikowalnych (4.) oraz wnioskowaną kwotę pomocy (5.) – reguła poprawności „pilnuje” aby wnioskowana kwota pomocy była mnie</w:t>
      </w:r>
      <w:r>
        <w:rPr>
          <w:rFonts w:eastAsia="Times New Roman"/>
          <w:sz w:val="20"/>
          <w:szCs w:val="20"/>
        </w:rPr>
        <w:t>jsza lub równa kwocie kosztów kwalifikowalnych: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obliczone automatycznie (pole 3. = pole 2. – pole 4.)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5.1 = pole 5.*0,6363 zaokrląglone w dół, do pełnych gr</w:t>
      </w:r>
      <w:r>
        <w:rPr>
          <w:rFonts w:eastAsia="Times New Roman"/>
          <w:sz w:val="20"/>
          <w:szCs w:val="20"/>
        </w:rPr>
        <w:t>oszy)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5.2 = pole 5. – pole 5.1)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obliczony automatycznie (pole 6. = 0 /zero/)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498396" cy="2264539"/>
            <wp:effectExtent l="0" t="0" r="7054" b="2411"/>
            <wp:docPr id="27" name="Obraz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8396" cy="2264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Gdy wnioskuje więcej niż jeden podmiot należy pozostawić wartość w polu wyboru </w:t>
      </w:r>
      <w:r>
        <w:rPr>
          <w:sz w:val="20"/>
          <w:szCs w:val="20"/>
        </w:rPr>
        <w:t>bez żadnych zmian (jak na przykładzie poniżej).</w:t>
      </w:r>
    </w:p>
    <w:p w:rsidR="00D814B8" w:rsidRDefault="0053412E">
      <w:pPr>
        <w:widowControl w:val="0"/>
        <w:spacing w:before="240" w:after="0"/>
        <w:jc w:val="center"/>
      </w:pPr>
      <w:r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5398315" cy="1095268"/>
            <wp:effectExtent l="0" t="0" r="0" b="0"/>
            <wp:docPr id="28" name="Obraz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315" cy="10952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takim przypadku w polach 5.1, 5.2 i 6. będzie widoczne przypomnienie o treści „podaj sumę wartości z pola…”, które trzeba będzie zastąpić odpowiednią sumą kwot obliczoną „na boku”</w:t>
      </w:r>
    </w:p>
    <w:p w:rsidR="00D814B8" w:rsidRDefault="0053412E">
      <w:pPr>
        <w:widowControl w:val="0"/>
        <w:spacing w:before="240" w:after="24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4551864" cy="611413"/>
            <wp:effectExtent l="0" t="0" r="1086" b="0"/>
            <wp:docPr id="29" name="Obraz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864" cy="6114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56"/>
      </w:tblGrid>
      <w:tr w:rsidR="00D814B8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ind w:left="171" w:right="147"/>
              <w:jc w:val="both"/>
            </w:pPr>
            <w:r>
              <w:rPr>
                <w:rFonts w:eastAsia="Times New Roman"/>
                <w:b/>
                <w:sz w:val="20"/>
                <w:szCs w:val="20"/>
              </w:rPr>
              <w:t xml:space="preserve">Uwaga! </w:t>
            </w:r>
            <w:r>
              <w:rPr>
                <w:rFonts w:eastAsia="Times New Roman"/>
                <w:sz w:val="20"/>
                <w:szCs w:val="20"/>
              </w:rPr>
              <w:t xml:space="preserve">Niezależnie od </w:t>
            </w:r>
            <w:r>
              <w:rPr>
                <w:rFonts w:eastAsia="Times New Roman"/>
                <w:sz w:val="20"/>
                <w:szCs w:val="20"/>
              </w:rPr>
              <w:t>liczby wnioskujących i tego czy któryś z nich jest JSFP wszystkie wartości obliczone automatycznie można zastąpić wartościami wprowadzonymi ręcznie. Formuły w arkuszu wniosku nie są zabezpieczone – można je zmodyfikować lub całkowicie zignorować!</w:t>
            </w:r>
          </w:p>
        </w:tc>
      </w:tr>
    </w:tbl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lastRenderedPageBreak/>
        <w:t xml:space="preserve">Pole 2. </w:t>
      </w:r>
      <w:r>
        <w:rPr>
          <w:rFonts w:eastAsia="Times New Roman"/>
          <w:b/>
          <w:sz w:val="20"/>
          <w:szCs w:val="20"/>
        </w:rPr>
        <w:t>Koszty całkowite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od „0”,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IV.A.6.1 dla</w:t>
      </w:r>
      <w:r>
        <w:rPr>
          <w:sz w:val="20"/>
          <w:szCs w:val="20"/>
        </w:rPr>
        <w:t xml:space="preserve"> wszystkich podmiotów wspólnie wnioskujących, obliczonej samodzielnie (poza arkuszem wniosku).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Koszty niekwalifikowalne realizacji danego etapu operacji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(IV.</w:t>
      </w:r>
      <w:r>
        <w:rPr>
          <w:rFonts w:eastAsia="Times New Roman"/>
          <w:sz w:val="20"/>
          <w:szCs w:val="20"/>
        </w:rPr>
        <w:t>2) i kwalifikowalnych (IV.4)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IV.A.6.2 dla wszystkich podmiotów wspólnie wnioskujących, obliczonej samodzielnie (poza arkuszem wniosku).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Koszty kwalifikow</w:t>
      </w:r>
      <w:r>
        <w:rPr>
          <w:rFonts w:eastAsia="Times New Roman"/>
          <w:b/>
          <w:sz w:val="20"/>
          <w:szCs w:val="20"/>
        </w:rPr>
        <w:t>alne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(IV.2),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więcej niż jednego wnioskującego wpisana kwota powinna być równa sumie </w:t>
      </w:r>
      <w:r>
        <w:rPr>
          <w:sz w:val="20"/>
          <w:szCs w:val="20"/>
        </w:rPr>
        <w:t>kwot z pola IV.A.6.3 dla wszystkich podmiotów wspólnie wnioskujących, obliczonej samodzielnie (poza arkuszem wniosku).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4.1 Koszty inwestycyjne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dodatnią, nie większą niż koszty kwalifikowalne (IV.4), z dokładnością </w:t>
      </w:r>
      <w:r>
        <w:rPr>
          <w:sz w:val="20"/>
          <w:szCs w:val="20"/>
        </w:rPr>
        <w:t>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IV.A.6.3.1 dla wszystkich podmiotów wspólnie wnioskujących, obliczonej samodzielnie (poza arkuszem wniosku).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Wnioskowana kw</w:t>
      </w:r>
      <w:r>
        <w:rPr>
          <w:rFonts w:eastAsia="Times New Roman"/>
          <w:b/>
          <w:sz w:val="20"/>
          <w:szCs w:val="20"/>
        </w:rPr>
        <w:t>ota pomocy dla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(IV.4),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jeśli wnioskuje jeden podmiot należy skorzystać z opisanej wyżej „Zwr</w:t>
      </w:r>
      <w:r>
        <w:rPr>
          <w:sz w:val="20"/>
          <w:szCs w:val="20"/>
        </w:rPr>
        <w:t>otnicy nr 1”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IV.A.6.4 dla wszystkich podmiotów wspólnie wnioskujących, obliczonej samodzielnie (poza arkuszem wniosku).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5.1 publiczne środki wspólnotowe (wk</w:t>
      </w:r>
      <w:r>
        <w:rPr>
          <w:rFonts w:eastAsia="Times New Roman"/>
          <w:b/>
          <w:sz w:val="20"/>
          <w:szCs w:val="20"/>
        </w:rPr>
        <w:t>ład EFRROW)</w:t>
      </w:r>
    </w:p>
    <w:p w:rsidR="00D814B8" w:rsidRDefault="0053412E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oraz</w:t>
      </w:r>
    </w:p>
    <w:p w:rsidR="00D814B8" w:rsidRDefault="0053412E">
      <w:pPr>
        <w:widowControl w:val="0"/>
        <w:spacing w:after="0"/>
        <w:jc w:val="both"/>
      </w:pPr>
      <w:r>
        <w:rPr>
          <w:rFonts w:eastAsia="Times New Roman"/>
          <w:b/>
          <w:sz w:val="20"/>
          <w:szCs w:val="20"/>
        </w:rPr>
        <w:t>Pole 5.2 publiczne środki krajowe (wkład krajowy) wypłacane przez ARiMR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Ze względu na różnice „groszowe”, wynikające ze sposobu zaokrąglania podziału na środki „unijne” i „krajowe” poszczególnych podmiotów oraz z uwagi na fakt innego sposo</w:t>
      </w:r>
      <w:r>
        <w:rPr>
          <w:rFonts w:eastAsia="Times New Roman"/>
          <w:sz w:val="20"/>
          <w:szCs w:val="20"/>
        </w:rPr>
        <w:t>bu wyliczania kwoty EFRROW dla JSFP i innych podmiotów, w „podsumowaniu” etapu operacji nie zastosowano algorytmu obliczającego „montaż”. Podzielenie całej kwoty pomocy dla danego etapu dałoby różny wynik EFRROW/Krajowe niż suma kwot cząstkowych EFRROW/Kra</w:t>
      </w:r>
      <w:r>
        <w:rPr>
          <w:rFonts w:eastAsia="Times New Roman"/>
          <w:sz w:val="20"/>
          <w:szCs w:val="20"/>
        </w:rPr>
        <w:t>jowe obliczonych dla poszczególnych podmiotów.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Sumy wartości cząstkowych z pól IV.A.6.4.1 i IV.A.6.4.2 (z danych poszczególnych podmiotów wspólnie wnioskujących) należy obliczyć poza formularzem, a wyniki wpisać odpowiednio do pól 5.1 i 5.2 we wniosku. W p</w:t>
      </w:r>
      <w:r>
        <w:rPr>
          <w:rFonts w:eastAsia="Times New Roman"/>
          <w:sz w:val="20"/>
          <w:szCs w:val="20"/>
        </w:rPr>
        <w:t>rzypadku gdy łączna wartość z pól 5.1 i 5.2 będzie różna od wartości wpisanej do pola 5 kolor jego wypełnienia zmieni się z białego na czerwony.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 Wkład własny Beneficjenta, stanowiący publiczne środki krajowe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</w:t>
      </w:r>
      <w:r>
        <w:rPr>
          <w:sz w:val="20"/>
          <w:szCs w:val="20"/>
        </w:rPr>
        <w:t>dodatnią, nie większą niż wnioskowana kwota pomocy dla danego etapu operacji (IV.5), z 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przypadku więcej niż jednego wnioskującego wpisana kwota powinna być równa sumie kwot z pola IV.A.6.5 dla wszystkich </w:t>
      </w:r>
      <w:r>
        <w:rPr>
          <w:rFonts w:eastAsia="Times New Roman"/>
          <w:sz w:val="20"/>
          <w:szCs w:val="20"/>
        </w:rPr>
        <w:t>podmiot</w:t>
      </w:r>
      <w:r>
        <w:rPr>
          <w:rFonts w:eastAsia="Times New Roman"/>
          <w:sz w:val="20"/>
          <w:szCs w:val="20"/>
        </w:rPr>
        <w:t>ów wspólnie wnioskujących</w:t>
      </w:r>
      <w:r>
        <w:rPr>
          <w:sz w:val="20"/>
          <w:szCs w:val="20"/>
        </w:rPr>
        <w:t>, obliczonej samodzielnie (poza arkuszem wniosku).</w:t>
      </w:r>
    </w:p>
    <w:p w:rsidR="00D814B8" w:rsidRDefault="00D814B8"/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lastRenderedPageBreak/>
        <w:t>Pole 7. Wnioskowana kwota pomocy dotycząca kosztów inwestycyjnych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(IV.6.3.1), z do</w:t>
      </w:r>
      <w:r>
        <w:rPr>
          <w:sz w:val="20"/>
          <w:szCs w:val="20"/>
        </w:rPr>
        <w:t>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przypadku więcej niż jednego wnioskującego wpisana kwota powinna być równa sumie kwot z pola IV.A.6.6 dla wszystkich </w:t>
      </w:r>
      <w:r>
        <w:rPr>
          <w:rFonts w:eastAsia="Times New Roman"/>
          <w:sz w:val="20"/>
          <w:szCs w:val="20"/>
        </w:rPr>
        <w:t>podmiotów wspólnie wnioskujących</w:t>
      </w:r>
      <w:r>
        <w:rPr>
          <w:sz w:val="20"/>
          <w:szCs w:val="20"/>
        </w:rPr>
        <w:t>, obliczonej samodzielnie (poza arkuszem wniosku).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7.1 w ty</w:t>
      </w:r>
      <w:r>
        <w:rPr>
          <w:rFonts w:eastAsia="Times New Roman"/>
          <w:b/>
          <w:sz w:val="20"/>
          <w:szCs w:val="20"/>
        </w:rPr>
        <w:t>m kwota rozliczająca zaliczkę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pomocy, dotycząca kosztów inwestycyjnych operacji (IV.6.6),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przypadku więcej niż jednego wnioskują</w:t>
      </w:r>
      <w:r>
        <w:rPr>
          <w:sz w:val="20"/>
          <w:szCs w:val="20"/>
        </w:rPr>
        <w:t xml:space="preserve">cego wpisana kwota powinna być równa sumie kwot z pola IV.A.6.6.1 dla wszystkich </w:t>
      </w:r>
      <w:r>
        <w:rPr>
          <w:rFonts w:eastAsia="Times New Roman"/>
          <w:sz w:val="20"/>
          <w:szCs w:val="20"/>
        </w:rPr>
        <w:t>podmiotów wspólnie wnioskujących</w:t>
      </w:r>
      <w:r>
        <w:rPr>
          <w:sz w:val="20"/>
          <w:szCs w:val="20"/>
        </w:rPr>
        <w:t>, obliczonej samodzielnie (poza arkuszem wniosku).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7.2 Odsetki od wypłaconej zaliczki / wyprzedzającego finansowania podlegające (…)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</w:t>
      </w:r>
      <w:r>
        <w:rPr>
          <w:sz w:val="20"/>
          <w:szCs w:val="20"/>
        </w:rPr>
        <w:t xml:space="preserve"> polu można wpisać tylko liczbę dodatnią,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przypadku więcej niż jednego wnioskującego wpisana kwota powinna być równa sumie kwot z pola IV.A.6.6.2 dla wszystkich </w:t>
      </w:r>
      <w:r>
        <w:rPr>
          <w:rFonts w:eastAsia="Times New Roman"/>
          <w:sz w:val="20"/>
          <w:szCs w:val="20"/>
        </w:rPr>
        <w:t>podmiotów wspólnie wnioskujących</w:t>
      </w:r>
      <w:r>
        <w:rPr>
          <w:sz w:val="20"/>
          <w:szCs w:val="20"/>
        </w:rPr>
        <w:t>, obliczonej sam</w:t>
      </w:r>
      <w:r>
        <w:rPr>
          <w:sz w:val="20"/>
          <w:szCs w:val="20"/>
        </w:rPr>
        <w:t>odzielnie (poza arkuszem wniosku).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31" w:name="_Toc10556787"/>
      <w:bookmarkStart w:id="632" w:name="_Toc10640691"/>
      <w:bookmarkStart w:id="633" w:name="_Toc10737217"/>
      <w:bookmarkStart w:id="634" w:name="_Toc10792863"/>
      <w:bookmarkStart w:id="635" w:name="_Toc10817339"/>
      <w:bookmarkStart w:id="636" w:name="_Toc13481654"/>
      <w:bookmarkStart w:id="637" w:name="_Toc13559340"/>
      <w:bookmarkStart w:id="638" w:name="_Toc13651226"/>
      <w:bookmarkStart w:id="639" w:name="_Toc14429193"/>
      <w:r>
        <w:t>IV.A. DANE WSPÓLNIE WNIOSKUJĄCYCH O PŁATNOŚĆ W (…) (arkusz I_IV)</w:t>
      </w:r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WoP_19_2_IW_4z_ark_wpolwn.xlsx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Ta sekcja oraz jej kopie (w pliku WoP_19_</w:t>
      </w:r>
      <w:r>
        <w:rPr>
          <w:sz w:val="20"/>
          <w:szCs w:val="20"/>
        </w:rPr>
        <w:t xml:space="preserve">2_IW_4z_ark_wpolwn.xlsx) w liczbie odpowiadającej liczbie podmiotów wspólnie wnioskujących wypełniana jest </w:t>
      </w:r>
      <w:r>
        <w:rPr>
          <w:b/>
          <w:sz w:val="20"/>
          <w:szCs w:val="20"/>
        </w:rPr>
        <w:t>wyłącznie</w:t>
      </w:r>
      <w:r>
        <w:rPr>
          <w:sz w:val="20"/>
          <w:szCs w:val="20"/>
        </w:rPr>
        <w:t xml:space="preserve"> w przypadku gdy jest więcej niż jeden podmiot wnioskujący o płatność!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Nr podmiotu wspólnie wnioskującego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</w:t>
      </w:r>
      <w:r>
        <w:rPr>
          <w:sz w:val="20"/>
          <w:szCs w:val="20"/>
        </w:rPr>
        <w:t xml:space="preserve">lko liczbę całkowitą, większą od „0” 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podobno istnieje potencjalna możliwość, że podmiot wiodący /nr 1 z WoPP/, na podstawie aneksu do umowy o wspólnej realizacji operacji, wycofa się z projektu, a rolę wiodącą przejmie podmiot z innym numerem – dlatego n</w:t>
      </w:r>
      <w:r>
        <w:rPr>
          <w:i/>
          <w:sz w:val="20"/>
          <w:szCs w:val="20"/>
        </w:rPr>
        <w:t>a WoP w tym polu nie zdefiniowano „na stałe” wartości „1” tylko „&gt;0”; natomiast w pliku dodatkowych arkuszy w części IV.A w polu 1 reguła poprawności pilnuje aby wartość była większa od „1”)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można wpisać tylko liczb</w:t>
      </w:r>
      <w:r>
        <w:rPr>
          <w:sz w:val="20"/>
          <w:szCs w:val="20"/>
        </w:rPr>
        <w:t xml:space="preserve">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Imię i nazwisko/Nazwa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można wpisać tyl</w:t>
      </w:r>
      <w:r>
        <w:rPr>
          <w:sz w:val="20"/>
          <w:szCs w:val="20"/>
        </w:rPr>
        <w:t xml:space="preserve">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NIP i REGON – w przypadku wpisania krótszego ciągu (zawierającego mniej niż wymaganą liczbę znaków) maska wprowadzania uzupełni ciąg o brakującą liczbę znaków, ws</w:t>
      </w:r>
      <w:r>
        <w:rPr>
          <w:sz w:val="20"/>
          <w:szCs w:val="20"/>
        </w:rPr>
        <w:t>tawiając zera na początku ciągu!</w:t>
      </w:r>
    </w:p>
    <w:p w:rsidR="00D814B8" w:rsidRDefault="0053412E">
      <w:pPr>
        <w:suppressAutoHyphens w:val="0"/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W kolumnie O arkusza (poza obszarem wydruku), na wysokości pola 6.1 znajduje się pole wyboru „Zwrotnica nr 2”.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12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099928" cy="848362"/>
            <wp:effectExtent l="0" t="0" r="5472" b="8888"/>
            <wp:docPr id="30" name="Obraz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928" cy="848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Należy wybrać z listy odpowiedź „TAK” albo „NIE”: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przypadku „TAK” należy wprowadzić kwotę kosztów </w:t>
      </w:r>
      <w:r>
        <w:rPr>
          <w:rFonts w:eastAsia="Times New Roman"/>
          <w:sz w:val="20"/>
          <w:szCs w:val="20"/>
        </w:rPr>
        <w:t>całkowitych (6.1), kwotę kosztów kwalifikowalnych (6.3) oraz wnioskowaną kwotę pomocy (6.4) – reguła poprawności „pilnuje” aby wnioskowana kwota pomocy była mniejsza lub równa 63,63% kwoty kosztów kwalifikowalnych: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</w:t>
      </w:r>
      <w:r>
        <w:rPr>
          <w:rFonts w:eastAsia="Times New Roman"/>
          <w:sz w:val="20"/>
          <w:szCs w:val="20"/>
        </w:rPr>
        <w:t>e automatycznie (pole 6.2 = pole 6.1 – pole 6.3)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6.4.1 = pole 6.4)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6.4.2 = 0 /zero/)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</w:t>
      </w:r>
      <w:r>
        <w:rPr>
          <w:rFonts w:eastAsia="Times New Roman"/>
          <w:sz w:val="20"/>
          <w:szCs w:val="20"/>
        </w:rPr>
        <w:t>ony automatycznie (pole 6.5 = pole 6.3 – pole 6.4.1)</w:t>
      </w:r>
    </w:p>
    <w:p w:rsidR="00D814B8" w:rsidRDefault="0053412E">
      <w:pPr>
        <w:widowControl w:val="0"/>
        <w:spacing w:after="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5089001" cy="2791169"/>
            <wp:effectExtent l="0" t="0" r="0" b="9181"/>
            <wp:docPr id="31" name="Obraz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001" cy="27911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„NIE” należy wprowadzić kwotę kosztów całkowitych (6.1), kwotę kosztów kwalifikowalnych (6.3) oraz wnioskowaną kwotę pomocy (6.4) – reguła poprawności „pilnuje” aby wnioskowana kwota pomocy</w:t>
      </w:r>
      <w:r>
        <w:rPr>
          <w:rFonts w:eastAsia="Times New Roman"/>
          <w:sz w:val="20"/>
          <w:szCs w:val="20"/>
        </w:rPr>
        <w:t xml:space="preserve"> była mniejsza lub równa kwocie kosztów kwalifikowalnych: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obliczone automatycznie (pole 6.2 = pole 6.1 – pole 6.3)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6.4.1 = pole 6.4*0,6363 zaokrląglone w dó</w:t>
      </w:r>
      <w:r>
        <w:rPr>
          <w:rFonts w:eastAsia="Times New Roman"/>
          <w:sz w:val="20"/>
          <w:szCs w:val="20"/>
        </w:rPr>
        <w:t>ł, do pełnych groszy)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6.4.2 = pole 6.4 – pole 6.4.1)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obliczony automatycznie (pole 6.5 = 0 /zero/)</w:t>
      </w:r>
    </w:p>
    <w:p w:rsidR="00D814B8" w:rsidRDefault="0053412E">
      <w:pPr>
        <w:widowControl w:val="0"/>
        <w:spacing w:after="12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5082738" cy="2740072"/>
            <wp:effectExtent l="0" t="0" r="3612" b="3128"/>
            <wp:docPr id="32" name="Obraz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738" cy="27400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56"/>
      </w:tblGrid>
      <w:tr w:rsidR="00D814B8">
        <w:tblPrEx>
          <w:tblCellMar>
            <w:top w:w="0" w:type="dxa"/>
            <w:bottom w:w="0" w:type="dxa"/>
          </w:tblCellMar>
        </w:tblPrEx>
        <w:trPr>
          <w:trHeight w:val="118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4B8" w:rsidRDefault="0053412E">
            <w:pPr>
              <w:widowControl w:val="0"/>
              <w:spacing w:before="240" w:after="0"/>
              <w:ind w:left="171" w:right="147"/>
              <w:jc w:val="both"/>
            </w:pPr>
            <w:r>
              <w:rPr>
                <w:rFonts w:eastAsia="Times New Roman"/>
                <w:b/>
                <w:sz w:val="20"/>
                <w:szCs w:val="20"/>
              </w:rPr>
              <w:t xml:space="preserve">Uwaga! </w:t>
            </w:r>
            <w:r>
              <w:rPr>
                <w:rFonts w:eastAsia="Times New Roman"/>
                <w:sz w:val="20"/>
                <w:szCs w:val="20"/>
              </w:rPr>
              <w:t>Niezależnie od tego czy któryś z podmiotów jest JS</w:t>
            </w:r>
            <w:r>
              <w:rPr>
                <w:rFonts w:eastAsia="Times New Roman"/>
                <w:sz w:val="20"/>
                <w:szCs w:val="20"/>
              </w:rPr>
              <w:t>FP, wszystkie wartości obliczone automatycznie można zastąpić wartościami wprowadzonymi ręcznie. Formuły w arkuszu IV_A nie są zabezpieczone – można je zmodyfikować lub całkowicie zignorować!</w:t>
            </w:r>
          </w:p>
        </w:tc>
      </w:tr>
    </w:tbl>
    <w:p w:rsidR="00D814B8" w:rsidRDefault="00D814B8"/>
    <w:p w:rsidR="00D814B8" w:rsidRDefault="00D814B8"/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lastRenderedPageBreak/>
        <w:t>Pole 6.1 Koszty całkowite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</w:t>
      </w:r>
      <w:r>
        <w:rPr>
          <w:sz w:val="20"/>
          <w:szCs w:val="20"/>
        </w:rPr>
        <w:t>tym polu można wpisać tylko liczbę, większą od „0”,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6.2 Koszty niekwalifikowalne realizacji danego etapu operacji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</w:t>
      </w:r>
      <w:r>
        <w:rPr>
          <w:rFonts w:eastAsia="Times New Roman"/>
          <w:sz w:val="20"/>
          <w:szCs w:val="20"/>
        </w:rPr>
        <w:t>IV.A.6.1) i kwalifikowalnych (IV.A.6.3)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6.3 Koszty kwalifikowalne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(IV.A.6.1),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6.3.1 Kosz</w:t>
      </w:r>
      <w:r>
        <w:rPr>
          <w:rFonts w:eastAsia="Times New Roman"/>
          <w:b/>
          <w:sz w:val="20"/>
          <w:szCs w:val="20"/>
        </w:rPr>
        <w:t>ty inwestycyjne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(IV.A.6.3),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6.4 Wnioskowana kwota pomocy dla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</w:t>
      </w:r>
      <w:r>
        <w:rPr>
          <w:sz w:val="20"/>
          <w:szCs w:val="20"/>
        </w:rPr>
        <w:t>odatnią, nie większą niż koszty kwalifikowalne (IV.A.6.3), z dokładnością do dwóch miejsc po przecinku.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6.4.1 publiczne środki wspólnotowe (wkład EFRROW)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 nie będącego JSFP wartość pola obliczana jest atomatycznie (63,63% wnioskowanej kwot</w:t>
      </w:r>
      <w:r>
        <w:rPr>
          <w:rFonts w:eastAsia="Times New Roman"/>
          <w:sz w:val="20"/>
          <w:szCs w:val="20"/>
        </w:rPr>
        <w:t>y pomocy /IV.A.6.4/), z dokładnością do dwóch miejsc po przecinku, zaokrąglana „w dół”.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 będącego JSFP wartość tego pola powinna być równa wartości z pola 6.4 Wnioskowana kwota pomocy dla danego etapu operacji.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Pole 6.4.2 publiczne środki </w:t>
      </w:r>
      <w:r>
        <w:rPr>
          <w:rFonts w:eastAsia="Times New Roman"/>
          <w:b/>
          <w:sz w:val="20"/>
          <w:szCs w:val="20"/>
        </w:rPr>
        <w:t>krajowe (wkład krajowy) wypłacane przez ARiMR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 nie będącego JSFP wartość pola obliczana jest atomatycznie, jako różnica wnioskowanej kwoty pomocy i wkładu EFRROW (IV.A.6.4 – IV.A.6.4.1), z dokładnością do dwóch miejsc po przecinku.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</w:t>
      </w:r>
      <w:r>
        <w:rPr>
          <w:rFonts w:eastAsia="Times New Roman"/>
          <w:sz w:val="20"/>
          <w:szCs w:val="20"/>
        </w:rPr>
        <w:t xml:space="preserve"> będącego JSFP wartość tego pola powinna być równa „0” (zero)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Automatycznie wyliczone wartości w polach IV.A.6.4.1 i IV.A.6.4.2 można zastąpić wartościami wpisanymi „z ręki”, jednak w przypadku gdy łączna wartość z pól IV.A.6.4.1 i IV.A.6.4.2 będzie</w:t>
      </w:r>
      <w:r>
        <w:rPr>
          <w:rFonts w:eastAsia="Times New Roman"/>
          <w:sz w:val="20"/>
          <w:szCs w:val="20"/>
        </w:rPr>
        <w:t xml:space="preserve"> różna od wartości wpisanej do pola IV.A.6.4 kolor jego wypełnienia zmieni się z białego na czerwony.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6.5 Wkład własny Beneficjenta, stanowiący publiczne środki krajowe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wypełniane tylko w przypadku, gdy podmiot wnioskujący jest JSFP – można wpisa</w:t>
      </w:r>
      <w:r>
        <w:rPr>
          <w:sz w:val="20"/>
          <w:szCs w:val="20"/>
        </w:rPr>
        <w:t>ć tylko liczbę dodatnią, nie większą niż wnioskowana kwota pomocy (IV.A.6.4), z dokładnością do dwóch miejsc po przecinku. Kwota powinna być różnicą kosztów kwalifikowalnych etapu i wnioskowanej kwoty pomocy.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6.6 Wnioskowana kwota pomocy dotycząca kos</w:t>
      </w:r>
      <w:r>
        <w:rPr>
          <w:b/>
          <w:sz w:val="20"/>
          <w:szCs w:val="20"/>
        </w:rPr>
        <w:t>ztów inwestycyjnych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(IV.A.6.4),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6.6.1 w tym kwota rozliczająca zaliczkę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</w:t>
      </w:r>
      <w:r>
        <w:rPr>
          <w:sz w:val="20"/>
          <w:szCs w:val="20"/>
        </w:rPr>
        <w:t>dodatnią, nie większą niż wnioskowana kwota pomocy, dotycząca kosztów inwestycyjnych operacji (IV.A.6.6), z dokładnością do dwóch miejsc po przecinku.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 xml:space="preserve">Pole </w:t>
      </w:r>
      <w:r>
        <w:rPr>
          <w:rFonts w:eastAsia="Times New Roman"/>
          <w:b/>
          <w:sz w:val="20"/>
          <w:szCs w:val="20"/>
        </w:rPr>
        <w:t>6.6.2</w:t>
      </w:r>
      <w:r>
        <w:rPr>
          <w:b/>
          <w:sz w:val="20"/>
          <w:szCs w:val="20"/>
        </w:rPr>
        <w:t xml:space="preserve"> Odsetki od wypłaconej zaliczki / wyprzedzającego finansowania podlegające (…)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</w:t>
      </w:r>
      <w:r>
        <w:rPr>
          <w:sz w:val="20"/>
          <w:szCs w:val="20"/>
        </w:rPr>
        <w:t xml:space="preserve"> wpisać tylko liczbę dodatnią, z dokładnością do dwóch miejsc po przecinku.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40" w:name="_Toc10556788"/>
      <w:bookmarkStart w:id="641" w:name="_Toc10640692"/>
      <w:bookmarkStart w:id="642" w:name="_Toc10737218"/>
      <w:bookmarkStart w:id="643" w:name="_Toc10792864"/>
      <w:bookmarkStart w:id="644" w:name="_Toc10817340"/>
      <w:bookmarkStart w:id="645" w:name="_Toc13481655"/>
      <w:bookmarkStart w:id="646" w:name="_Toc13559341"/>
      <w:bookmarkStart w:id="647" w:name="_Toc13651227"/>
      <w:bookmarkStart w:id="648" w:name="_Toc14429194"/>
      <w:r>
        <w:lastRenderedPageBreak/>
        <w:t>V. WYKAZ FAKTUR LUB DOKUMENTÓW O RÓWNOWAŻNEJ WARTOŚCI (…) (arkusz V)</w:t>
      </w:r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Zgodnie z „Instrukcją wypełniania wniosku (…)” w pierwszej kolejności należy wypełnić tabelę VI. Zestawienie rz</w:t>
      </w:r>
      <w:r>
        <w:rPr>
          <w:sz w:val="20"/>
          <w:szCs w:val="20"/>
        </w:rPr>
        <w:t>eczowo-finansowe operacji, a dopiero po nim V. – we „Wskazówkach” sugerujemy postępować w ten sam sposób. Dlatego poniżej zamieszczono opis sposobu wypełnienia arkuszy w zmienionej (zalecanej) kolejności.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49" w:name="_Toc10556789"/>
      <w:bookmarkStart w:id="650" w:name="_Toc10640693"/>
      <w:bookmarkStart w:id="651" w:name="_Toc10737219"/>
      <w:bookmarkStart w:id="652" w:name="_Toc10792865"/>
      <w:bookmarkStart w:id="653" w:name="_Toc10817341"/>
      <w:bookmarkStart w:id="654" w:name="_Toc13481656"/>
      <w:bookmarkStart w:id="655" w:name="_Toc13559342"/>
      <w:bookmarkStart w:id="656" w:name="_Toc13651228"/>
      <w:bookmarkStart w:id="657" w:name="_Toc14429195"/>
      <w:r>
        <w:t>VI. ZESTAWIENIE RZECZOWO-FINANSOWE OPERACJI (arkusz</w:t>
      </w:r>
      <w:r>
        <w:t xml:space="preserve"> VI_ZRF)</w:t>
      </w:r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nagłówku sekcji etap operacji (rodzaj płatności), w ramach którego składany jest wniosek, jest automatycznie zaciągany z pola 3 Rodzaj płatności (z sekcji I. Część ogólna).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4781150" cy="378927"/>
            <wp:effectExtent l="0" t="0" r="400" b="2073"/>
            <wp:docPr id="33" name="Obraz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150" cy="3789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=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077925" cy="877750"/>
            <wp:effectExtent l="0" t="0" r="0" b="0"/>
            <wp:docPr id="34" name="Obraz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925" cy="877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Poniżej opisane zostały niektóre właściwości pól – formuły i walid</w:t>
      </w:r>
      <w:r>
        <w:rPr>
          <w:sz w:val="20"/>
          <w:szCs w:val="20"/>
        </w:rPr>
        <w:t>acje w nich umieszczone – na podstawie tabeli ZRF, wypełnionej przykładowymi danymi.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635115" cy="4432938"/>
            <wp:effectExtent l="0" t="0" r="0" b="5712"/>
            <wp:docPr id="35" name="Obraz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432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wszystkie wiersze nagłówka tabeli ZRF – czyli wiersze od 1 do 4 oraz wiersze z nazwami rodzajów kosztów: I., II., II.I, II.II, II.III i III. Zablokowane </w:t>
      </w:r>
      <w:r>
        <w:rPr>
          <w:sz w:val="20"/>
          <w:szCs w:val="20"/>
        </w:rPr>
        <w:t>są także wszystkie komórki „wyszarzone”.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Ponadto zablokowane są pola z numerami grup kosztów: A., B., C. itd. (w kolumnie A) – natomiast pola z nazwą grup kosztów (na rysunku powyżej „Coś A”, „Coś B”, itd. w kolumnie B) są dostępne – można w nich wpisać do</w:t>
      </w:r>
      <w:r>
        <w:rPr>
          <w:sz w:val="20"/>
          <w:szCs w:val="20"/>
        </w:rPr>
        <w:t>wolny ciąg znaków.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komórki w wierszach „podsumowań” (Suma A., Suma B., Suma I, Suma II (w tym także Suma II.I, Suma II.II, Suma II.III) oraz Suma III – kolumny od A do E.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komórki w kolumnach od A do C, w wierszach podsumowują</w:t>
      </w:r>
      <w:r>
        <w:rPr>
          <w:sz w:val="20"/>
          <w:szCs w:val="20"/>
        </w:rPr>
        <w:t xml:space="preserve">cych koszty kwalifikowalne dla poszczególnych podmiotów wspólnie wnioskujących – natomiast w kolumnie D (w wierszach podsumowujących koszty kwalifikowalne dla </w:t>
      </w:r>
      <w:r>
        <w:rPr>
          <w:sz w:val="20"/>
          <w:szCs w:val="20"/>
        </w:rPr>
        <w:lastRenderedPageBreak/>
        <w:t>poszczególnych podmiotów) należy wpisać numer(y) podmiotu(ów), zgodne z numerami podanymi w kolum</w:t>
      </w:r>
      <w:r>
        <w:rPr>
          <w:sz w:val="20"/>
          <w:szCs w:val="20"/>
        </w:rPr>
        <w:t>nie M (w kolumnie 12 tabeli ZRF). Dzięki temu formuły policzą (jak w zaprezentowanym powyżej przykładowym ZRF) sumy wszystkich kosztów poniesionych/wykazanych dla poszczególnych podmiotów wspólnie wnioskujących.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Nie są natomiast zablokowane żadne komórki z</w:t>
      </w:r>
      <w:r>
        <w:rPr>
          <w:sz w:val="20"/>
          <w:szCs w:val="20"/>
        </w:rPr>
        <w:t>awierające formuły (zaznaczone „różowym” wypełnieniem). Z różnych względów może zaistnieć potrzeba ich zmodyfikowania lub zastąpienia wartości wyliczonej automatycznie, wartością wpisaną „z ręki”. Jednak w przypadku nieumyślnego usunięcia formuły należy pa</w:t>
      </w:r>
      <w:r>
        <w:rPr>
          <w:sz w:val="20"/>
          <w:szCs w:val="20"/>
        </w:rPr>
        <w:t>miętać o możliwości użycia polecenia „Cofnij” lub kombinacji klawiszy [Ctrl]+[Z]. Więcej informacji o modyfikowaniu formuł można znaleźć w części ogólnej „Wskazówek” w rozdziale „</w:t>
      </w:r>
      <w:hyperlink r:id="rId279" w:history="1">
        <w:r>
          <w:rPr>
            <w:rStyle w:val="Hipercze"/>
            <w:sz w:val="20"/>
            <w:szCs w:val="20"/>
          </w:rPr>
          <w:t>Dodawanie wierszy...</w:t>
        </w:r>
      </w:hyperlink>
      <w:r>
        <w:rPr>
          <w:sz w:val="20"/>
          <w:szCs w:val="20"/>
        </w:rPr>
        <w:t>” lub wspomnian</w:t>
      </w:r>
      <w:r>
        <w:rPr>
          <w:sz w:val="20"/>
          <w:szCs w:val="20"/>
        </w:rPr>
        <w:t xml:space="preserve">ym we wstępie kursie </w:t>
      </w:r>
      <w:hyperlink r:id="rId280" w:history="1">
        <w:r>
          <w:rPr>
            <w:rStyle w:val="Hipercze"/>
            <w:sz w:val="20"/>
            <w:szCs w:val="20"/>
          </w:rPr>
          <w:t>MS Excel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ZRF (czyli w wierszach np. A.1, A.2, B.1, II.I.1, II.II.1, itd.)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Lp. (tabeli ZRF) uzupełnić numer/kod pozycji (dowolny ciąg znaków – </w:t>
      </w:r>
      <w:r>
        <w:rPr>
          <w:rFonts w:eastAsia="Times New Roman"/>
          <w:sz w:val="20"/>
          <w:szCs w:val="20"/>
        </w:rPr>
        <w:t>jednak z zachowaniem ciągłości i unikalności numeracji w ramach poszczególnych grup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wpisać nazwę zadania, którego dotyczy dana pozycja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2 wpisać nazwę/skrót nazwy jednostki miary (dow</w:t>
      </w:r>
      <w:r>
        <w:rPr>
          <w:rFonts w:eastAsia="Times New Roman"/>
          <w:sz w:val="20"/>
          <w:szCs w:val="20"/>
        </w:rPr>
        <w:t>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3 wpisać liczbę „jednostek” zgodnie z umową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liczbę „jednostek” zgodnie z rozliczenie</w:t>
      </w:r>
      <w:r>
        <w:rPr>
          <w:rFonts w:eastAsia="Times New Roman"/>
          <w:sz w:val="20"/>
          <w:szCs w:val="20"/>
        </w:rPr>
        <w:t>m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5 wpisać kwotę kosztów kwalifikowalnych, ogółem dla 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6 wpisać kwotę VAT (tylko liczby, z d</w:t>
      </w:r>
      <w:r>
        <w:rPr>
          <w:rFonts w:eastAsia="Times New Roman"/>
          <w:sz w:val="20"/>
          <w:szCs w:val="20"/>
        </w:rPr>
        <w:t>okładnością do dwóch miejsc po przecinku, nie większe niż 23% kwoty wykazanej w kolumnie 5)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7 wpisać kwotę kosztów inwestycyjnych, ogółem dla 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</w:t>
      </w:r>
      <w:r>
        <w:rPr>
          <w:rFonts w:eastAsia="Times New Roman"/>
          <w:sz w:val="20"/>
          <w:szCs w:val="20"/>
        </w:rPr>
        <w:t>a kosztów wykazana w kolumnie 5)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8 wpisać kwotę kosztów kwalifikowalnych, 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9 wpisać kwotę VAT (tylko liczby, z dokładnością do dwóch mi</w:t>
      </w:r>
      <w:r>
        <w:rPr>
          <w:rFonts w:eastAsia="Times New Roman"/>
          <w:sz w:val="20"/>
          <w:szCs w:val="20"/>
        </w:rPr>
        <w:t>ejsc po przecinku, nie większe niż 23% kwoty wykazanej w kolumnie 8)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10 wpisać kwotę kosztów inwestycyjnych, 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kosztów wykaza</w:t>
      </w:r>
      <w:r>
        <w:rPr>
          <w:rFonts w:eastAsia="Times New Roman"/>
          <w:sz w:val="20"/>
          <w:szCs w:val="20"/>
        </w:rPr>
        <w:t>na w kolumnie 8)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11 automatycznie obliczana jest wartość odchylenia kosztów kwalifikowalnych (zgodnie z algorytmem podanym w „Instrukcji wypełniania…”) – pola w tej kolumnie nie są zablokowane, a formuły w nich zawarte nie są chronione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</w:t>
      </w:r>
      <w:r>
        <w:rPr>
          <w:rFonts w:eastAsia="Times New Roman"/>
          <w:sz w:val="20"/>
          <w:szCs w:val="20"/>
        </w:rPr>
        <w:t>e 12 – zgodnie z „Instrukcją wypełniania…” – „…wpisać nr podmiotu wspólnie wnioskującego (zgodny z sekcją IV.A. pkt 1), który poniósł koszt w ramach danego zadania” (tylko liczby całkowite)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poszczególnych grupach kosztów lub</w:t>
      </w:r>
      <w:r>
        <w:rPr>
          <w:sz w:val="20"/>
          <w:szCs w:val="20"/>
        </w:rPr>
        <w:t xml:space="preserve"> podsumowaniach dla poszczególnych podmiotów należy dodawać zgodnie z „mini-instrukcjami” opisanymi w ogólnych wskazówkach </w:t>
      </w:r>
      <w:hyperlink r:id="rId28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Jeżeli w sekcji I. Koszty kwalifikowalne określone w § 8 (…) potrzebne są dodatkowe gr</w:t>
      </w:r>
      <w:r>
        <w:rPr>
          <w:sz w:val="20"/>
          <w:szCs w:val="20"/>
        </w:rPr>
        <w:t>upy kosztów: D, E, itd. to arkusz VI_ZRF zawiera zdefiniowane (ukryte pomiędzy podsumowaniem grupy C. a podsumowaniem całej sekcji I) wiersze dla grup kosztów od D. do J. Aby z nich skorzystać należy zaznaczyć wiersze Suma C. i Suma I, a następnie z menu p</w:t>
      </w:r>
      <w:r>
        <w:rPr>
          <w:sz w:val="20"/>
          <w:szCs w:val="20"/>
        </w:rPr>
        <w:t xml:space="preserve">odręcznego wybrać opcję „Odkryj”. Następnie należy wypełnić wiersze dla odpowiednich grup kosztów, a nadmiarowe grupy ponownie ukryć, postępując analogicznie jak w przykładzie podanym w </w:t>
      </w:r>
      <w:hyperlink r:id="rId282" w:history="1">
        <w:r>
          <w:rPr>
            <w:rStyle w:val="Hipercze"/>
            <w:sz w:val="20"/>
            <w:szCs w:val="20"/>
          </w:rPr>
          <w:t>części ogólnej „Wskazówek”</w:t>
        </w:r>
      </w:hyperlink>
      <w:r>
        <w:rPr>
          <w:sz w:val="20"/>
          <w:szCs w:val="20"/>
        </w:rPr>
        <w:t>.</w:t>
      </w:r>
    </w:p>
    <w:p w:rsidR="00D814B8" w:rsidRDefault="00D814B8">
      <w:pPr>
        <w:suppressAutoHyphens w:val="0"/>
      </w:pPr>
      <w:bookmarkStart w:id="658" w:name="_Toc10556790"/>
      <w:bookmarkStart w:id="659" w:name="_Toc10640694"/>
      <w:bookmarkStart w:id="660" w:name="_Toc10737220"/>
      <w:bookmarkStart w:id="661" w:name="_Toc10792866"/>
      <w:bookmarkStart w:id="662" w:name="_Toc10817342"/>
      <w:bookmarkStart w:id="663" w:name="_Toc13481657"/>
      <w:bookmarkStart w:id="664" w:name="_Toc13559343"/>
      <w:bookmarkStart w:id="665" w:name="_Toc13651229"/>
    </w:p>
    <w:p w:rsidR="00D814B8" w:rsidRDefault="0053412E">
      <w:pPr>
        <w:pStyle w:val="Nagwek4"/>
        <w:keepNext w:val="0"/>
        <w:keepLines w:val="0"/>
        <w:pageBreakBefore/>
        <w:widowControl w:val="0"/>
        <w:spacing w:before="240"/>
      </w:pPr>
      <w:bookmarkStart w:id="666" w:name="_Toc14429196"/>
      <w:r>
        <w:lastRenderedPageBreak/>
        <w:t xml:space="preserve">V. WYKAZ </w:t>
      </w:r>
      <w:r>
        <w:t>FAKTUR LUB DOKUMENTÓW (…) po wypełnieniu ZRF (arkusz V_WF)</w:t>
      </w:r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</w:p>
    <w:p w:rsidR="00D814B8" w:rsidRDefault="0053412E">
      <w:pPr>
        <w:widowControl w:val="0"/>
        <w:spacing w:before="240" w:after="120"/>
        <w:rPr>
          <w:sz w:val="20"/>
          <w:szCs w:val="20"/>
        </w:rPr>
      </w:pPr>
      <w:r>
        <w:rPr>
          <w:sz w:val="20"/>
          <w:szCs w:val="20"/>
        </w:rPr>
        <w:t>Tabelę „Wykaz faktur…” można uzupełnić niezależnie lub w powiązaniu z „Zestawieniem rzeczowo-finansowym operacji”. Poniżej zaprezentowano „Wykaz”, wypełniony z wykorzystaniem części danych zawartyc</w:t>
      </w:r>
      <w:r>
        <w:rPr>
          <w:sz w:val="20"/>
          <w:szCs w:val="20"/>
        </w:rPr>
        <w:t>h w ZRF.</w:t>
      </w:r>
    </w:p>
    <w:p w:rsidR="00D814B8" w:rsidRDefault="0053412E">
      <w:pPr>
        <w:widowControl w:val="0"/>
        <w:spacing w:before="240" w:after="12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407914" cy="3247134"/>
            <wp:effectExtent l="0" t="0" r="0" b="0"/>
            <wp:docPr id="36" name="Obraz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914" cy="3247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WF – czyli wiersze od 1 do 4.</w:t>
      </w:r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 xml:space="preserve">W wierszach podsumowujących zablokowane są komórki w kolumnach 7-10 dla wiersza „RAZEM:” oraz 7 i 9 dla wierszy podsumowujących wydatki dokonane przez poszczególne </w:t>
      </w:r>
      <w:r>
        <w:rPr>
          <w:sz w:val="20"/>
          <w:szCs w:val="20"/>
        </w:rPr>
        <w:t>podmioty współwnioskujące.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WF (czyli w wierszach od 1 do 5 w powyższym przykładzie)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Lp. wpisać (jeżeli brakuje) numer pozycji WF (dowolny ciąg znaków – jednak z zachowaniem ciągłości i unikalności numeracji w r</w:t>
      </w:r>
      <w:r>
        <w:rPr>
          <w:rFonts w:eastAsia="Times New Roman"/>
          <w:sz w:val="20"/>
          <w:szCs w:val="20"/>
        </w:rPr>
        <w:t>amach WF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wpisać numer dokumentu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 wpisać rodzaj dokumentu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3 wpisać numer konta księgowego lub kodu rachunkowego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</w:t>
      </w:r>
      <w:r>
        <w:rPr>
          <w:rFonts w:eastAsia="Times New Roman"/>
          <w:sz w:val="20"/>
          <w:szCs w:val="20"/>
        </w:rPr>
        <w:t>isać datę wystawienia dokumentu (data w formacie dd-mm-rrrr)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5 wpisać NIP wystawcy dokumentu (</w:t>
      </w:r>
      <w:r>
        <w:rPr>
          <w:sz w:val="20"/>
          <w:szCs w:val="20"/>
        </w:rPr>
        <w:t xml:space="preserve">liczba całkowita, </w:t>
      </w:r>
      <w:r>
        <w:rPr>
          <w:b/>
          <w:sz w:val="20"/>
          <w:szCs w:val="20"/>
        </w:rPr>
        <w:t>dziesięciocyfrowa</w:t>
      </w:r>
      <w:r>
        <w:rPr>
          <w:sz w:val="20"/>
          <w:szCs w:val="20"/>
        </w:rPr>
        <w:t>, większa od „0”); reguła poprawności oraz maska wprowadzenia „pilnują” odpowiedniej długości ciągu znaków – analogi</w:t>
      </w:r>
      <w:r>
        <w:rPr>
          <w:sz w:val="20"/>
          <w:szCs w:val="20"/>
        </w:rPr>
        <w:t>cznie jak w przypadku NIP-ów Partnerów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6 wpisać nazwę wystawcy dokumentu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pozycję na dokumencie lub nazwę towaru/usługi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8 wpisać pozycję w ZRF (dowolny ciąg znaków); jeżel</w:t>
      </w:r>
      <w:r>
        <w:rPr>
          <w:rFonts w:eastAsia="Times New Roman"/>
          <w:sz w:val="20"/>
          <w:szCs w:val="20"/>
        </w:rPr>
        <w:t>i numer pozycji będzie zgodny z numerem w ZRF zostaną automatycznie wypełnione komórki w kolumnach 12 i 13 (na podstawie wartości „zgodnego” wiersza z ZRF, odpowiednio z kolumn 8 i 9 ZRF)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9 wpisać datę zapłaty (data w formacie dd-mm-rrrr)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</w:t>
      </w:r>
      <w:r>
        <w:rPr>
          <w:rFonts w:eastAsia="Times New Roman"/>
          <w:sz w:val="20"/>
          <w:szCs w:val="20"/>
        </w:rPr>
        <w:t>mnie 10: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powyżej wiersza „RAZEM” wybrać wartość z listy (tylko wartości z listy wyboru)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poniżej wiersza „RAZEM” należy wpisać nr podmiotu wspólnie wnioskującego, dla którego formuła dokona podsumowania (z pól w kolumnach 11, 12 i 13) wszystkich dokumentów </w:t>
      </w:r>
      <w:r>
        <w:rPr>
          <w:rFonts w:eastAsia="Times New Roman"/>
          <w:sz w:val="20"/>
          <w:szCs w:val="20"/>
        </w:rPr>
        <w:t>przypisanych (w kolumnie 14 „Wykazu”) danemu podmiotowi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11 wpisać kwotę wydatków całkowitych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12 wpisać kwotę wydatków kwalifikowalnych (tylko liczby, z dokładnością do dwóch </w:t>
      </w:r>
      <w:r>
        <w:rPr>
          <w:rFonts w:eastAsia="Times New Roman"/>
          <w:sz w:val="20"/>
          <w:szCs w:val="20"/>
        </w:rPr>
        <w:t>miejsc po przecinku, nie większe niż wartości podane w kolumnie 11)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wpisać kwotę VAT (tylko liczby, z dokładnością do dwóch miejsc po przecinku, nie większe niż 23% kwoty wykazanej w kolumnie 12)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14 należy wpisać numer podmiotu wsp</w:t>
      </w:r>
      <w:r>
        <w:rPr>
          <w:rFonts w:eastAsia="Times New Roman"/>
          <w:sz w:val="20"/>
          <w:szCs w:val="20"/>
        </w:rPr>
        <w:t>ólnie wnioskującego, z którego konta/”portfela” dokonano danego wydatku</w:t>
      </w:r>
    </w:p>
    <w:p w:rsidR="00D814B8" w:rsidRDefault="0053412E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Jeżeli numer pozycji (w kolumnie 8) będzie zgodny z numerem w ZRF (w kolumnie 1) zostaną automatycznie wypełnione komórki w kolumnach 12 i 13 WF (na podstawie wartości „zgodnych” wiers</w:t>
      </w:r>
      <w:r>
        <w:rPr>
          <w:rFonts w:eastAsia="Times New Roman"/>
          <w:sz w:val="20"/>
          <w:szCs w:val="20"/>
        </w:rPr>
        <w:t xml:space="preserve">zy) odpowiednio do wartości z kolumn 8 i 9 ZRF. W przeciwnym </w:t>
      </w:r>
      <w:r>
        <w:rPr>
          <w:rFonts w:eastAsia="Times New Roman"/>
          <w:sz w:val="20"/>
          <w:szCs w:val="20"/>
        </w:rPr>
        <w:lastRenderedPageBreak/>
        <w:t>wypadku w kolumnach 12 i 13 będą wyświetlane wartości „#N/D!” – oznacza to, że formuła nie odnalazła pasujących danych (jak na przykładzie poniżej).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350782" cy="3261673"/>
            <wp:effectExtent l="0" t="0" r="0" b="0"/>
            <wp:docPr id="37" name="Obraz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782" cy="32616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Czerwonym kolorem oznaczono przypadki braku </w:t>
      </w:r>
      <w:r>
        <w:rPr>
          <w:rFonts w:eastAsia="Times New Roman"/>
          <w:sz w:val="20"/>
          <w:szCs w:val="20"/>
        </w:rPr>
        <w:t>zgodności pomiędzy wartościami z pól w kolumnie 8 WF i kolumnie 1 ZRF. Nieprawidłowy wynik (brak wyniku) w podsumowaniu (oznaczony kolorem żółtym) jest konsekwencją braku danych (#N/D!) w wierszach powyżej.</w:t>
      </w:r>
    </w:p>
    <w:p w:rsidR="00D814B8" w:rsidRDefault="0053412E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wiersza 6 (Lp. 2 na WF) należy policz</w:t>
      </w:r>
      <w:r>
        <w:rPr>
          <w:rFonts w:eastAsia="Times New Roman"/>
          <w:sz w:val="20"/>
          <w:szCs w:val="20"/>
        </w:rPr>
        <w:t>yć sumę odpowiednich wartości z wierszy/pozycji A.2 i B.1 ZRF i wpisać ją do komórek w kolumnach 12 i 13 WF – można to zrobić „ręcznie” lub modyfikując odpowiednio formułę (np. zamieniając istniejącą „=WYSZUKAJ.PIONOWO(…)” na „=SUMA(…)”). W pozostałych wie</w:t>
      </w:r>
      <w:r>
        <w:rPr>
          <w:rFonts w:eastAsia="Times New Roman"/>
          <w:sz w:val="20"/>
          <w:szCs w:val="20"/>
        </w:rPr>
        <w:t xml:space="preserve">rszach (od 10 do 21) należy usunąć formuły we wskazanych komórkach w kolumnach 12 i 13 (zaznaczając cały „niechciany” zakres komórek i wciskając klawisz [Del] albo [Delete], w zależności od posiadanej klawiatury). Efektem powinno być uzyskanie kompletnego </w:t>
      </w:r>
      <w:r>
        <w:rPr>
          <w:rFonts w:eastAsia="Times New Roman"/>
          <w:sz w:val="20"/>
          <w:szCs w:val="20"/>
        </w:rPr>
        <w:t>(wolnego od #N/D!) „Wykazu faktur…” z poprawnymi wierszami podsumowań (jak na rysunku poniżej).</w:t>
      </w:r>
    </w:p>
    <w:p w:rsidR="00D814B8" w:rsidRDefault="0053412E">
      <w:pPr>
        <w:widowControl w:val="0"/>
        <w:spacing w:before="240" w:after="12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6206261" cy="3211327"/>
            <wp:effectExtent l="0" t="0" r="4039" b="8123"/>
            <wp:docPr id="38" name="Obraz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261" cy="32113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Potrzebne (brakujące) wiersze w „Wykazie faktur…” lub podsumowaniach dla poszczególnych podmiotów współwnioskujących należy dodawać zgodnie z „mini-instrukcja</w:t>
      </w:r>
      <w:r>
        <w:rPr>
          <w:sz w:val="20"/>
          <w:szCs w:val="20"/>
        </w:rPr>
        <w:t xml:space="preserve">mi” opisanymi w ogólnych wskazówkach </w:t>
      </w:r>
      <w:hyperlink r:id="rId286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D814B8">
      <w:pPr>
        <w:suppressAutoHyphens w:val="0"/>
      </w:pPr>
      <w:bookmarkStart w:id="667" w:name="_Toc10556792"/>
      <w:bookmarkStart w:id="668" w:name="_Toc10640696"/>
      <w:bookmarkStart w:id="669" w:name="_Toc10737221"/>
      <w:bookmarkStart w:id="670" w:name="_Toc10792867"/>
      <w:bookmarkStart w:id="671" w:name="_Toc10817343"/>
      <w:bookmarkStart w:id="672" w:name="_Toc13481658"/>
      <w:bookmarkStart w:id="673" w:name="_Toc13559344"/>
      <w:bookmarkStart w:id="674" w:name="_Toc13651230"/>
    </w:p>
    <w:p w:rsidR="00D814B8" w:rsidRDefault="0053412E">
      <w:pPr>
        <w:pStyle w:val="Nagwek4"/>
        <w:keepNext w:val="0"/>
        <w:keepLines w:val="0"/>
        <w:pageBreakBefore/>
        <w:widowControl w:val="0"/>
        <w:spacing w:before="240"/>
      </w:pPr>
      <w:bookmarkStart w:id="675" w:name="_Toc14429197"/>
      <w:r>
        <w:lastRenderedPageBreak/>
        <w:t>VII. WARTOŚĆ WSKAŹNIKÓW, KTÓRE ZOSTAŁY OSIĄGNIĘTE (…) (arkusz VII_Wskazn_VIII_Zobow)</w:t>
      </w:r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 Wskaźniki obowiązkowe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wszystkie pola w kolumnach „L.p.”, </w:t>
      </w:r>
      <w:r>
        <w:rPr>
          <w:sz w:val="20"/>
          <w:szCs w:val="20"/>
        </w:rPr>
        <w:t>„Wskaźnik”, „Dezagregacja” i „Jednostka miary wskaźnika”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kolumnach „Docelowa wartość wskaźnika zgodnie z umową” oraz „Wartość wskaźnika osiągnięta w wyniku realizacji operacji” należy odpowiednio wprowadzić wartości wskaźników… zgodnie z umową i osiągnię</w:t>
      </w:r>
      <w:r>
        <w:rPr>
          <w:sz w:val="20"/>
          <w:szCs w:val="20"/>
        </w:rPr>
        <w:t>te (tylko liczby całkowite, większe od „0”, z wyjątkiem wiersza „8. Długość wybudowanych lub przebudowanych ścieżek rowerowych i szlaków turystycznych” gdzie można wprowadzić liczby większe od „0”, z dokładnością do dwóch miejsc po przecinku).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kolumnie „</w:t>
      </w:r>
      <w:r>
        <w:rPr>
          <w:sz w:val="20"/>
          <w:szCs w:val="20"/>
        </w:rPr>
        <w:t>Sposób pomiaru wskaźnika” należy – zgodnie z „Instrukcją wypełniania…” – „…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był mierzony / badany w trakcie realizacji operacji oraz w jaki sposób wskaźnik wpłynął na realizację celów operacji” (dowolny ciąg znaków).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</w:t>
      </w:r>
      <w:r>
        <w:rPr>
          <w:rFonts w:eastAsia="Times New Roman"/>
          <w:color w:val="000000"/>
          <w:sz w:val="20"/>
          <w:szCs w:val="20"/>
          <w:lang w:eastAsia="ja-JP"/>
        </w:rPr>
        <w:t>tabeli „Wskaźników obowiązkowycyh” nie można (nie należy) dodawać nowych wierszy.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VII.2 Pozostałe wskaźniki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pola tabeli – poza wierszem nagłówka – są odblokowane i można (należy) je wypełnić: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L.p. wpisując (jeżeli brakuje) numer</w:t>
      </w:r>
      <w:r>
        <w:rPr>
          <w:rFonts w:eastAsia="Times New Roman"/>
          <w:sz w:val="20"/>
          <w:szCs w:val="20"/>
        </w:rPr>
        <w:t xml:space="preserve"> kolejny (dowolny ciąg znaków – jednak z zachowaniem ciągłości i unikalności numeracji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„Docelowa wartość wskaźnika zgodnie z umową” wpisując </w:t>
      </w:r>
      <w:r>
        <w:rPr>
          <w:sz w:val="20"/>
          <w:szCs w:val="20"/>
        </w:rPr>
        <w:t>wartośc</w:t>
      </w:r>
      <w:r>
        <w:rPr>
          <w:sz w:val="20"/>
          <w:szCs w:val="20"/>
        </w:rPr>
        <w:t xml:space="preserve">i wskaźników… zgodnie z umową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 dający się łatwo zidentyfikować, ciąg znaków – np. szt., k</w:t>
      </w:r>
      <w:r>
        <w:rPr>
          <w:rFonts w:eastAsia="Times New Roman"/>
          <w:sz w:val="20"/>
          <w:szCs w:val="20"/>
        </w:rPr>
        <w:t>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„Wartość wskaźnika osiągnięta w wyniku realizacji operacji” wpisując osiągnięte </w:t>
      </w:r>
      <w:r>
        <w:rPr>
          <w:sz w:val="20"/>
          <w:szCs w:val="20"/>
        </w:rPr>
        <w:t xml:space="preserve">wartości wskaźników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 xml:space="preserve">Sposób pomiaru wskaźnika”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</w:t>
      </w:r>
      <w:r>
        <w:rPr>
          <w:rFonts w:eastAsia="Times New Roman"/>
          <w:color w:val="000000"/>
          <w:sz w:val="20"/>
          <w:szCs w:val="20"/>
          <w:lang w:eastAsia="ja-JP"/>
        </w:rPr>
        <w:t>nik był mierzony / badany w trakcie realizacji operacji oraz w jaki sposób wskaźnik wpłynął na realizację celów operacji (dowolny ciąg znaków)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287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76" w:name="_Toc10737222"/>
      <w:bookmarkStart w:id="677" w:name="_Toc10792868"/>
      <w:bookmarkStart w:id="678" w:name="_Toc10817344"/>
      <w:bookmarkStart w:id="679" w:name="_Toc13481659"/>
      <w:bookmarkStart w:id="680" w:name="_Toc13559345"/>
      <w:bookmarkStart w:id="681" w:name="_Toc13651231"/>
      <w:bookmarkStart w:id="682" w:name="_Toc14429198"/>
      <w:bookmarkStart w:id="683" w:name="_Toc10556793"/>
      <w:bookmarkStart w:id="684" w:name="_Toc10640697"/>
      <w:r>
        <w:t>VIII. ZOBOWIĄZANIA DOTYCZĄCE UTWORZENIA NOWEGO (arkusz VII_Wskazn_VIII_Zobow)</w:t>
      </w:r>
      <w:bookmarkEnd w:id="676"/>
      <w:bookmarkEnd w:id="677"/>
      <w:bookmarkEnd w:id="678"/>
      <w:bookmarkEnd w:id="679"/>
      <w:bookmarkEnd w:id="680"/>
      <w:bookmarkEnd w:id="681"/>
      <w:bookmarkEnd w:id="682"/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Wartość momentu bazowego stanu zatrudnienia określona w umowie o przyznaniu pomocy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Liczba miejsc pracy planowana do utworzenia wg umowy o przyznaniu pomocy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Aktualny stan zatrudnienia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 xml:space="preserve">większą lub </w:t>
      </w:r>
      <w:r>
        <w:rPr>
          <w:sz w:val="20"/>
          <w:szCs w:val="20"/>
        </w:rPr>
        <w:t>równą "0,00"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3.1 Stan zatrudnienia na dzień składania wniosku o płatność (w przeliczeniu na pełne etaty)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3.2 Średni stan zatrudnienia z okresu 12 miesięcy, w przypadku gdy Beneficjen</w:t>
      </w:r>
      <w:r>
        <w:rPr>
          <w:b/>
          <w:sz w:val="20"/>
          <w:szCs w:val="20"/>
        </w:rPr>
        <w:t>t prowadzi działalność sezonową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D814B8" w:rsidRDefault="00D814B8">
      <w:pPr>
        <w:suppressAutoHyphens w:val="0"/>
      </w:pPr>
      <w:bookmarkStart w:id="685" w:name="_Toc10737223"/>
      <w:bookmarkStart w:id="686" w:name="_Toc10792869"/>
      <w:bookmarkStart w:id="687" w:name="_Toc10817345"/>
    </w:p>
    <w:p w:rsidR="00D814B8" w:rsidRDefault="0053412E">
      <w:pPr>
        <w:pStyle w:val="Nagwek4"/>
        <w:keepNext w:val="0"/>
        <w:keepLines w:val="0"/>
        <w:pageBreakBefore/>
        <w:widowControl w:val="0"/>
        <w:spacing w:before="240"/>
      </w:pPr>
      <w:bookmarkStart w:id="688" w:name="_Toc13481660"/>
      <w:bookmarkStart w:id="689" w:name="_Toc13559346"/>
      <w:bookmarkStart w:id="690" w:name="_Toc13651232"/>
      <w:bookmarkStart w:id="691" w:name="_Toc14429199"/>
      <w:r>
        <w:lastRenderedPageBreak/>
        <w:t>IX. INFORMACJA O ZAŁĄCZNIKACH (arkusz IX_Info_Zalacz)</w:t>
      </w:r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wierszu „Wniosek w postaci dokumentu elektronicznego, zapisanego na informatycznym nośniku danych” </w:t>
      </w:r>
      <w:r>
        <w:rPr>
          <w:sz w:val="20"/>
          <w:szCs w:val="20"/>
        </w:rPr>
        <w:t>należy wybrać z listy odpowiedź „TAK” albo „NIE”.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tabeli załączników wszystkie komórki w kolumnach „Lp.” i „Nazwa załącznika” – od wiersza 4 (z tytułem części A tabeli) do wiersza 40 (Lp. 31 w części A) oraz wiersze 43 (z tytułem części B tabeli) i 44 (L</w:t>
      </w:r>
      <w:r>
        <w:rPr>
          <w:sz w:val="20"/>
          <w:szCs w:val="20"/>
        </w:rPr>
        <w:t>p. 1 w części B) – są zablokowane.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wybrać z listy odpowiednią wartość – inną niż „(wybierz z listy)”: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</w:t>
      </w:r>
      <w:r>
        <w:rPr>
          <w:rFonts w:eastAsia="Times New Roman"/>
          <w:sz w:val="20"/>
          <w:szCs w:val="20"/>
        </w:rPr>
        <w:t>rtości „TAK” w kolumnie „Liczba” (w tym samym wierszu) pojawi się tekst „Wpisz liczbę załączników”, przypominający o konieczności podania liczby załączanych dokumentów danego rodzaju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W wierszach A.31.a, A.31.b (a także kolejnych, dodanych w tej części) ora</w:t>
      </w:r>
      <w:r>
        <w:rPr>
          <w:sz w:val="20"/>
          <w:szCs w:val="20"/>
        </w:rPr>
        <w:t xml:space="preserve">z w wierszu B.2 (i kolejnych, dodanych) wprowadzenie wartości (dowolnego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 kolumnie „Liczba”.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Uwaga! </w:t>
      </w:r>
      <w:r>
        <w:rPr>
          <w:rFonts w:eastAsia="Times New Roman"/>
          <w:sz w:val="20"/>
          <w:szCs w:val="20"/>
        </w:rPr>
        <w:t>Formuły, które uzupełniają warto</w:t>
      </w:r>
      <w:r>
        <w:rPr>
          <w:rFonts w:eastAsia="Times New Roman"/>
          <w:sz w:val="20"/>
          <w:szCs w:val="20"/>
        </w:rPr>
        <w:t xml:space="preserve">ści w kolumnie „Liczba” na podstawie wartości wybranej w kolumnie „TAK/ND” są jednorazowe – tzn. nie są zabezpieczone. Jeżeli w kolumnie „TAK/ND” wybrana zostanie wartość „TAK’ i w kolumnie „Liczba” komunikat „Wpisz liczbę załączników” zastąpiony zostanie </w:t>
      </w:r>
      <w:r>
        <w:rPr>
          <w:rFonts w:eastAsia="Times New Roman"/>
          <w:sz w:val="20"/>
          <w:szCs w:val="20"/>
        </w:rPr>
        <w:t>liczbą, to dokonanie wyboru innej wartości – w tym samym wierszu – w kolumnie „TAK/ND” (np. wprowadzono wartość w niewłaściwym wierszu) nie spowoduje już żadnych zmian w kolumnie „Liczba” – w tym samym wierszu – ewentualną korektę trzeba wykonać „ręcznie”.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pokazano wyniki działania formuł powiązanych z wartościami wprowadzanymi w komórkach w kolumnie „TAK/ND” oraz w „edytowalnych” wierszach w kolumnie „Nazwa załącznika”:</w:t>
      </w:r>
    </w:p>
    <w:p w:rsidR="00D814B8" w:rsidRDefault="0053412E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</w:t>
      </w:r>
      <w:r>
        <w:rPr>
          <w:rFonts w:eastAsia="Times New Roman"/>
          <w:sz w:val="20"/>
          <w:szCs w:val="20"/>
        </w:rPr>
        <w:t>a”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642101" cy="4425952"/>
            <wp:effectExtent l="0" t="0" r="6349" b="0"/>
            <wp:docPr id="39" name="Obraz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44259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D814B8"/>
    <w:p w:rsidR="00D814B8" w:rsidRDefault="00D814B8">
      <w:pPr>
        <w:pageBreakBefore/>
        <w:suppressAutoHyphens w:val="0"/>
      </w:pPr>
    </w:p>
    <w:p w:rsidR="00D814B8" w:rsidRDefault="0053412E">
      <w:r>
        <w:t>oraz po uzupełnieniu wartości w kolumnie „Liczba”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642101" cy="4389120"/>
            <wp:effectExtent l="0" t="0" r="6349" b="0"/>
            <wp:docPr id="40" name="Obraz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4389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0"/>
        <w:ind w:left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29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692" w:name="_Toc10556794"/>
      <w:bookmarkStart w:id="693" w:name="_Toc10640698"/>
      <w:bookmarkStart w:id="694" w:name="_Toc10737224"/>
      <w:bookmarkStart w:id="695" w:name="_Toc10792870"/>
      <w:bookmarkStart w:id="696" w:name="_Toc10817346"/>
      <w:bookmarkStart w:id="697" w:name="_Toc13481661"/>
      <w:bookmarkStart w:id="698" w:name="_Toc13559347"/>
      <w:bookmarkStart w:id="699" w:name="_Toc13651233"/>
      <w:bookmarkStart w:id="700" w:name="_Toc14429200"/>
      <w:r>
        <w:t xml:space="preserve">X. OŚWIADCZENIA BENEFICJENTA (arkusz </w:t>
      </w:r>
      <w:r>
        <w:t>X_XI_Osw_Beneficj)</w:t>
      </w:r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</w:p>
    <w:p w:rsidR="00D814B8" w:rsidRDefault="0053412E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oraz</w:t>
      </w:r>
    </w:p>
    <w:p w:rsidR="00D814B8" w:rsidRDefault="0053412E">
      <w:pPr>
        <w:pStyle w:val="Nagwek4"/>
        <w:keepNext w:val="0"/>
        <w:keepLines w:val="0"/>
        <w:widowControl w:val="0"/>
        <w:spacing w:before="0"/>
      </w:pPr>
      <w:bookmarkStart w:id="701" w:name="_Toc10737225"/>
      <w:bookmarkStart w:id="702" w:name="_Toc10792871"/>
      <w:bookmarkStart w:id="703" w:name="_Toc10817347"/>
      <w:bookmarkStart w:id="704" w:name="_Toc13481662"/>
      <w:bookmarkStart w:id="705" w:name="_Toc13559348"/>
      <w:bookmarkStart w:id="706" w:name="_Toc13651234"/>
      <w:bookmarkStart w:id="707" w:name="_Toc14429201"/>
      <w:r>
        <w:t>XI. OŚWIADCZENIE O WYPEŁNIENIU OBOWIĄZKU INFORMACYJNEGO (…) (arkusz X_XI_Osw_Beneficj)</w:t>
      </w:r>
      <w:bookmarkEnd w:id="701"/>
      <w:bookmarkEnd w:id="702"/>
      <w:bookmarkEnd w:id="703"/>
      <w:bookmarkEnd w:id="704"/>
      <w:bookmarkEnd w:id="705"/>
      <w:bookmarkEnd w:id="706"/>
      <w:bookmarkEnd w:id="707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tych arkuszach dostępne są tylko pola, w którym należy (można) wpisać miejscowość (miejsce) oraz datę podpisania oświadczenia (dowolny ciąg zna</w:t>
      </w:r>
      <w:r>
        <w:rPr>
          <w:sz w:val="20"/>
          <w:szCs w:val="20"/>
        </w:rPr>
        <w:t>ków).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708" w:name="_Toc10556795"/>
      <w:bookmarkStart w:id="709" w:name="_Toc10640699"/>
      <w:bookmarkStart w:id="710" w:name="_Toc10737226"/>
      <w:bookmarkStart w:id="711" w:name="_Toc10792872"/>
      <w:bookmarkStart w:id="712" w:name="_Toc10817348"/>
      <w:bookmarkStart w:id="713" w:name="_Toc13481663"/>
      <w:bookmarkStart w:id="714" w:name="_Toc13559349"/>
      <w:bookmarkStart w:id="715" w:name="_Toc13651235"/>
      <w:bookmarkStart w:id="716" w:name="_Toc14429202"/>
      <w:r>
        <w:t>Załącznik nr IX. A.16 Oświadczenie dotyczące wyodrębnionych kont (…) (arkusz Zal_IX_A16)</w:t>
      </w:r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Wartości do pól „Imię i nazwisko / Nazwa Beneficjenta” oraz „Nr umowy z Urzędem Marszałko</w:t>
      </w:r>
      <w:r>
        <w:rPr>
          <w:sz w:val="20"/>
          <w:szCs w:val="20"/>
        </w:rPr>
        <w:t xml:space="preserve">wskim” zaciągane są automatycznie z odpowiednich komórek w części II i III wniosku. Pola te nie są zablokowane – można zastąpić „automatyczną” wartość dowolnymi danymi wpisanymi samodzielnie.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należy wypełnić „ręcznie” – zgodnie ze stanem fa</w:t>
      </w:r>
      <w:r>
        <w:rPr>
          <w:sz w:val="20"/>
          <w:szCs w:val="20"/>
        </w:rPr>
        <w:t>ktycznym.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kont księgowych Beneficjenta należy dodawać zgodnie z „mini-instrukcjami” opisanymi w ogólnych wskazówkach </w:t>
      </w:r>
      <w:hyperlink r:id="rId29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717" w:name="_Toc10556796"/>
      <w:bookmarkStart w:id="718" w:name="_Toc10640700"/>
      <w:bookmarkStart w:id="719" w:name="_Toc10737227"/>
      <w:bookmarkStart w:id="720" w:name="_Toc10792873"/>
      <w:bookmarkStart w:id="721" w:name="_Toc10817349"/>
      <w:bookmarkStart w:id="722" w:name="_Toc13481664"/>
      <w:bookmarkStart w:id="723" w:name="_Toc13559350"/>
      <w:bookmarkStart w:id="724" w:name="_Toc13651236"/>
      <w:bookmarkStart w:id="725" w:name="_Toc14429203"/>
      <w:r>
        <w:t>Załącznik nr IX. A.17 KARTA ROZLICZENIA ZADANIA W ZAK</w:t>
      </w:r>
      <w:r>
        <w:t>RESIE (…) (arkusz Zal_IX_A17)</w:t>
      </w:r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 wielokrotnego powielenia) dostępna jest w pliku WoP_19_2_IW_4z_ark_wpolwn.xlsx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Każde zadanie powinno być opisane w odrębnej „Karcie”.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</w:t>
      </w:r>
      <w:r>
        <w:rPr>
          <w:sz w:val="20"/>
          <w:szCs w:val="20"/>
        </w:rPr>
        <w:t>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polach od 1 do 7 (oprócz pola 4) można wpisać dowolny ciąg znaków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4 można wpisać tylko liczbę, większą lub równą „0”,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polach powiązanych z polem „8. Dokumenty potwierdzające realizację” nale</w:t>
      </w:r>
      <w:r>
        <w:rPr>
          <w:sz w:val="20"/>
          <w:szCs w:val="20"/>
        </w:rPr>
        <w:t>ży w kolumnie po lewej stronie oznaczyć za pomocą „X” rodzaj dokumentów posiadanych przez Beneficjenta, potwierdzających realizację zadania. W przypadku wiersza „materiały szkoleniowe” można je opisać (w dodatkowym polu po prawej stronie).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</w:t>
      </w:r>
      <w:r>
        <w:rPr>
          <w:sz w:val="20"/>
          <w:szCs w:val="20"/>
        </w:rPr>
        <w:t xml:space="preserve">jące) wiersze „Dokumentów…” należy dodawać zgodnie z „mini-instrukcjami” opisanymi w ogólnych wskazówkach </w:t>
      </w:r>
      <w:hyperlink r:id="rId292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726" w:name="_Toc10556797"/>
      <w:bookmarkStart w:id="727" w:name="_Toc10640701"/>
      <w:bookmarkStart w:id="728" w:name="_Toc10737228"/>
      <w:bookmarkStart w:id="729" w:name="_Toc10792874"/>
      <w:bookmarkStart w:id="730" w:name="_Toc10817350"/>
      <w:bookmarkStart w:id="731" w:name="_Toc13481665"/>
      <w:bookmarkStart w:id="732" w:name="_Toc13559351"/>
      <w:bookmarkStart w:id="733" w:name="_Toc13651237"/>
      <w:bookmarkStart w:id="734" w:name="_Toc14429204"/>
      <w:r>
        <w:t>Załącznik nr IX. A.18 LISTA OBECNOŚCI NA (…) (arkusz Zal_IX_A18)</w:t>
      </w:r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 wielokro</w:t>
      </w:r>
      <w:r>
        <w:rPr>
          <w:sz w:val="20"/>
          <w:szCs w:val="20"/>
        </w:rPr>
        <w:t>tnego powielenia) dostępna jest w pliku WoP_19_2_IW_4z_ark_wpolwn.xlsx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oraz pola w kolumnach „Ocena szkolenia…” i „Podpis uczestnika” są 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„Listy obecności…” </w:t>
      </w:r>
      <w:r>
        <w:rPr>
          <w:sz w:val="20"/>
          <w:szCs w:val="20"/>
        </w:rPr>
        <w:t xml:space="preserve">należy dodawać zgodnie z „mini-instrukcjami” opisanymi w ogólnych wskazówkach </w:t>
      </w:r>
      <w:hyperlink r:id="rId293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735" w:name="_Toc10556798"/>
      <w:bookmarkStart w:id="736" w:name="_Toc10640702"/>
      <w:bookmarkStart w:id="737" w:name="_Toc10737229"/>
      <w:bookmarkStart w:id="738" w:name="_Toc10792875"/>
      <w:bookmarkStart w:id="739" w:name="_Toc10817351"/>
      <w:bookmarkStart w:id="740" w:name="_Toc13481666"/>
      <w:bookmarkStart w:id="741" w:name="_Toc13559352"/>
      <w:bookmarkStart w:id="742" w:name="_Toc13651238"/>
      <w:bookmarkStart w:id="743" w:name="_Toc14429205"/>
      <w:r>
        <w:t>Załącznik nr IX. A.19 KARTA WKŁADU RZECZOWEGO (…) (arkusz Zal_IX_A19)</w:t>
      </w:r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tabeli należy dodawać zgodnie</w:t>
      </w:r>
      <w:r>
        <w:rPr>
          <w:sz w:val="20"/>
          <w:szCs w:val="20"/>
        </w:rPr>
        <w:t xml:space="preserve"> z „mini-instrukcjami” opisanymi w ogólnych wskazówkach </w:t>
      </w:r>
      <w:hyperlink r:id="rId294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744" w:name="_Toc10556799"/>
      <w:bookmarkStart w:id="745" w:name="_Toc10640703"/>
      <w:bookmarkStart w:id="746" w:name="_Toc10737230"/>
      <w:bookmarkStart w:id="747" w:name="_Toc10792876"/>
      <w:bookmarkStart w:id="748" w:name="_Toc10817352"/>
      <w:bookmarkStart w:id="749" w:name="_Toc13481667"/>
      <w:bookmarkStart w:id="750" w:name="_Toc13559353"/>
      <w:bookmarkStart w:id="751" w:name="_Toc13651239"/>
      <w:bookmarkStart w:id="752" w:name="_Toc14429206"/>
      <w:r>
        <w:t>Załącznik nr IX.B.1 Informacje dotyczące przetwarzania (…) (arkusz Zal_IX_B1_RODO)</w:t>
      </w:r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można wprowadzać dane w polach „wykropkowanych” (z wyjąt</w:t>
      </w:r>
      <w:r>
        <w:rPr>
          <w:sz w:val="20"/>
          <w:szCs w:val="20"/>
        </w:rPr>
        <w:t>kiem pola „czytelny pospis osoby…”, które jest zablokowane).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Samorząd Województwa – przed opublikowaniem formularzy wniosku o płatność na swojej stronie internetowej – może</w:t>
      </w:r>
      <w:r>
        <w:rPr>
          <w:sz w:val="20"/>
          <w:szCs w:val="20"/>
        </w:rPr>
        <w:t xml:space="preserve"> uzupełnić część danych i zablokować te pola w celu zmniejszenia ryzyka popełnienia błędu podczas ich wielokrotnego, „ręcznego” wypełniania przy każdym składanym WoP.</w:t>
      </w:r>
    </w:p>
    <w:p w:rsidR="00D814B8" w:rsidRDefault="00D814B8">
      <w:pPr>
        <w:suppressAutoHyphens w:val="0"/>
      </w:pPr>
      <w:bookmarkStart w:id="753" w:name="_Toc9422430"/>
      <w:bookmarkStart w:id="754" w:name="_Toc9505042"/>
      <w:bookmarkStart w:id="755" w:name="_Toc9594624"/>
      <w:bookmarkStart w:id="756" w:name="_Toc9866938"/>
      <w:bookmarkStart w:id="757" w:name="_Toc9924642"/>
      <w:bookmarkStart w:id="758" w:name="_Toc10015025"/>
      <w:bookmarkStart w:id="759" w:name="_Toc10556800"/>
    </w:p>
    <w:p w:rsidR="00D814B8" w:rsidRDefault="0053412E">
      <w:pPr>
        <w:pStyle w:val="Nagwek2"/>
        <w:keepNext w:val="0"/>
        <w:keepLines w:val="0"/>
        <w:pageBreakBefore/>
        <w:widowControl w:val="0"/>
        <w:spacing w:before="240"/>
      </w:pPr>
      <w:bookmarkStart w:id="760" w:name="_Toc10640704"/>
      <w:bookmarkStart w:id="761" w:name="_Toc10737231"/>
      <w:bookmarkStart w:id="762" w:name="_Toc10792877"/>
      <w:bookmarkStart w:id="763" w:name="_Toc10817353"/>
      <w:bookmarkStart w:id="764" w:name="_Toc13481668"/>
      <w:bookmarkStart w:id="765" w:name="_Toc13559354"/>
      <w:bookmarkStart w:id="766" w:name="_Toc13651240"/>
      <w:bookmarkStart w:id="767" w:name="_Toc14429207"/>
      <w:r>
        <w:lastRenderedPageBreak/>
        <w:t>Poddziałanie 19.2 – premie</w:t>
      </w:r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768" w:name="_Toc9422431"/>
      <w:bookmarkStart w:id="769" w:name="_Toc9505043"/>
      <w:bookmarkStart w:id="770" w:name="_Toc9594625"/>
      <w:bookmarkStart w:id="771" w:name="_Toc9866939"/>
      <w:bookmarkStart w:id="772" w:name="_Toc9924643"/>
      <w:bookmarkStart w:id="773" w:name="_Toc10015026"/>
      <w:bookmarkStart w:id="774" w:name="_Toc10556801"/>
      <w:bookmarkStart w:id="775" w:name="_Toc10640705"/>
      <w:bookmarkStart w:id="776" w:name="_Toc10737232"/>
      <w:bookmarkStart w:id="777" w:name="_Toc10792878"/>
      <w:bookmarkStart w:id="778" w:name="_Toc10817354"/>
      <w:bookmarkStart w:id="779" w:name="_Toc13481669"/>
      <w:bookmarkStart w:id="780" w:name="_Toc13559355"/>
      <w:bookmarkStart w:id="781" w:name="_Toc13651241"/>
      <w:bookmarkStart w:id="782" w:name="_Toc14429208"/>
      <w:r>
        <w:t>Wniosek o przyznanie pomocy (W-1_19.2_P)</w:t>
      </w:r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783" w:name="_Toc9422432"/>
      <w:bookmarkStart w:id="784" w:name="_Toc9505044"/>
      <w:bookmarkStart w:id="785" w:name="_Toc9594626"/>
      <w:bookmarkStart w:id="786" w:name="_Toc9866940"/>
      <w:bookmarkStart w:id="787" w:name="_Toc9924644"/>
      <w:bookmarkStart w:id="788" w:name="_Toc10015027"/>
      <w:bookmarkStart w:id="789" w:name="_Toc10556802"/>
      <w:bookmarkStart w:id="790" w:name="_Toc10640706"/>
      <w:bookmarkStart w:id="791" w:name="_Toc10737233"/>
      <w:bookmarkStart w:id="792" w:name="_Toc10792879"/>
      <w:bookmarkStart w:id="793" w:name="_Toc10817355"/>
      <w:bookmarkStart w:id="794" w:name="_Toc13481670"/>
      <w:bookmarkStart w:id="795" w:name="_Toc13559356"/>
      <w:bookmarkStart w:id="796" w:name="_Toc13651242"/>
      <w:bookmarkStart w:id="797" w:name="_Toc14429209"/>
      <w:r>
        <w:t>Wniosek o płatność (W-2_19.2_P)</w:t>
      </w:r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798" w:name="_Toc10817356"/>
      <w:bookmarkStart w:id="799" w:name="_Toc13481671"/>
      <w:bookmarkStart w:id="800" w:name="_Toc13559357"/>
      <w:bookmarkStart w:id="801" w:name="_Toc13651243"/>
      <w:bookmarkStart w:id="802" w:name="_Toc14429210"/>
      <w:bookmarkStart w:id="803" w:name="_Toc9422433"/>
      <w:bookmarkStart w:id="804" w:name="_Toc9505045"/>
      <w:bookmarkStart w:id="805" w:name="_Toc9594627"/>
      <w:bookmarkStart w:id="806" w:name="_Toc9866941"/>
      <w:bookmarkStart w:id="807" w:name="_Toc9924645"/>
      <w:bookmarkStart w:id="808" w:name="_Toc10015028"/>
      <w:bookmarkStart w:id="809" w:name="_Toc10556803"/>
      <w:bookmarkEnd w:id="589"/>
      <w:bookmarkEnd w:id="590"/>
      <w:bookmarkEnd w:id="591"/>
      <w:bookmarkEnd w:id="592"/>
      <w:bookmarkEnd w:id="593"/>
      <w:bookmarkEnd w:id="594"/>
      <w:r>
        <w:t>Sekcja tytułowa (arkusz I_IV)</w:t>
      </w:r>
      <w:bookmarkEnd w:id="798"/>
      <w:bookmarkEnd w:id="799"/>
      <w:bookmarkEnd w:id="800"/>
      <w:bookmarkEnd w:id="801"/>
      <w:bookmarkEnd w:id="802"/>
    </w:p>
    <w:p w:rsidR="00D814B8" w:rsidRDefault="0053412E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UM. Na formularzu *.xlsx 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10" w:name="_Toc10817357"/>
      <w:bookmarkStart w:id="811" w:name="_Toc13481672"/>
      <w:bookmarkStart w:id="812" w:name="_Toc13559358"/>
      <w:bookmarkStart w:id="813" w:name="_Toc13651244"/>
      <w:bookmarkStart w:id="814" w:name="_Toc14429211"/>
      <w:r>
        <w:t>I. CZĘŚĆ OGÓLNA (arkusz I_IV)</w:t>
      </w:r>
      <w:bookmarkEnd w:id="810"/>
      <w:bookmarkEnd w:id="811"/>
      <w:bookmarkEnd w:id="812"/>
      <w:bookmarkEnd w:id="813"/>
      <w:bookmarkEnd w:id="814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Cel złożenia wniosku o płatność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bCs/>
          <w:sz w:val="20"/>
          <w:szCs w:val="20"/>
        </w:rPr>
        <w:t>Pole 2. Rodzaj płatności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D814B8" w:rsidRDefault="0053412E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Z postanowień umowy wynika ob</w:t>
      </w:r>
      <w:r>
        <w:rPr>
          <w:b/>
          <w:sz w:val="20"/>
          <w:szCs w:val="20"/>
        </w:rPr>
        <w:t>owiązek utworzenia miejsc(a) pracy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wypełnione predefiniowaną wartością „X” i zablokowane (nie można zmienić tej wartości).</w:t>
      </w:r>
    </w:p>
    <w:p w:rsidR="00D814B8" w:rsidRDefault="0053412E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Operacja jest dedykowana grupie(-om) defaworyzowanej(-ym), określonej(-ym) w LSR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Dopuszczalne są tylko wartości z listy </w:t>
      </w:r>
      <w:r>
        <w:rPr>
          <w:sz w:val="20"/>
          <w:szCs w:val="20"/>
        </w:rPr>
        <w:t>wyboru: TAK albo NIE.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wybrania odpowiedzi „TAK” w polu 5.1 pojawi się przypomnienie „podaj liczbę grup defawotyzowanych”, jeżeli wybrana zostanie odpowiedź „NIE” w polu 5.1 zostanie automatycznie wprowadzona wartość „0”.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4.1 Liczba grup de</w:t>
      </w:r>
      <w:r>
        <w:rPr>
          <w:b/>
          <w:sz w:val="20"/>
          <w:szCs w:val="20"/>
        </w:rPr>
        <w:t>faworyzowanych, do których dedykowana jest operacja</w:t>
      </w:r>
      <w:r>
        <w:rPr>
          <w:sz w:val="20"/>
          <w:szCs w:val="20"/>
        </w:rPr>
        <w:t xml:space="preserve"> </w:t>
      </w:r>
    </w:p>
    <w:p w:rsidR="00D814B8" w:rsidRDefault="0053412E">
      <w:pPr>
        <w:widowControl w:val="0"/>
        <w:spacing w:before="240" w:after="0"/>
        <w:jc w:val="both"/>
      </w:pPr>
      <w:r>
        <w:rPr>
          <w:sz w:val="20"/>
          <w:szCs w:val="20"/>
        </w:rPr>
        <w:t>W tym polu można wpisać tylko liczbę całkowitą, większą lub równą „0”.</w:t>
      </w:r>
    </w:p>
    <w:p w:rsidR="00D814B8" w:rsidRDefault="0053412E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4.2 Operacja jest dedykowana grupie defaworyzowanej poprzez utworzenie/utrzymanie miejsc(a) pracy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</w:t>
      </w:r>
      <w:r>
        <w:rPr>
          <w:sz w:val="20"/>
          <w:szCs w:val="20"/>
        </w:rPr>
        <w:t>i z listy wyboru: TAK albo NIE.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15" w:name="_Toc10817358"/>
      <w:bookmarkStart w:id="816" w:name="_Toc13481673"/>
      <w:bookmarkStart w:id="817" w:name="_Toc13559359"/>
      <w:bookmarkStart w:id="818" w:name="_Toc13651245"/>
      <w:bookmarkStart w:id="819" w:name="_Toc14429212"/>
      <w:r>
        <w:t>II. DANE IDENTYFIKACYJNE BENEFICJENTA (arkusz I_IV)</w:t>
      </w:r>
      <w:bookmarkEnd w:id="815"/>
      <w:bookmarkEnd w:id="816"/>
      <w:bookmarkEnd w:id="817"/>
      <w:bookmarkEnd w:id="818"/>
      <w:bookmarkEnd w:id="819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Imię i nazwisko/Nazwa Beneficjenta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</w:t>
      </w:r>
      <w:r>
        <w:rPr>
          <w:sz w:val="20"/>
          <w:szCs w:val="20"/>
        </w:rPr>
        <w:t>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</w:t>
      </w:r>
      <w:r>
        <w:rPr>
          <w:sz w:val="20"/>
          <w:szCs w:val="20"/>
        </w:rPr>
        <w:t>NIP i REGON – w przypadku wpisania krótszego ciągu (zawierającego mniej niż wymaganą liczbę znaków) maska wprowadzania uzupełni ciąg o brakującą liczbę znaków, wstawiając zera na początku ciągu!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Pole 5. Adres Beneficjenta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5.1 jest zablokowane z wprowa</w:t>
      </w:r>
      <w:r>
        <w:rPr>
          <w:sz w:val="20"/>
          <w:szCs w:val="20"/>
        </w:rPr>
        <w:t>dzoną (bez możliwości edycji) wartością „Polska”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5.2 należy wybrać, przy pomocy listy rozwijalnej, województwo.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5.5 należy wpisać ciąg pięciu cyfr bez znaku „-” – maska wprowadzania wyświetli kod w formacie ##-###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Pozostałe pola w tej części </w:t>
      </w:r>
      <w:r>
        <w:rPr>
          <w:sz w:val="20"/>
          <w:szCs w:val="20"/>
        </w:rPr>
        <w:t>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Adres do korespondencji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Ponieważ adres korespondencyjny nie musi dotyczyć Polski, dlatego w polu 6.1 należy wybrać z dostępnej listy właściwy kraj, z którym powiązany jest adres </w:t>
      </w:r>
      <w:r>
        <w:rPr>
          <w:sz w:val="20"/>
          <w:szCs w:val="20"/>
        </w:rPr>
        <w:t>do korespondencji. Jeżeli zostanie wybrana Polska, wtedy z pól 6.2, 6.3 i 6.4 zostaną usunięte wartości „nie dotyczy”, a w polu 6.2 trzeba będzie wybrać z listy odpowiednie województwo. W przypadku wybrania w polu 6.1 wartości wartości innej niż „Polska” w</w:t>
      </w:r>
      <w:r>
        <w:rPr>
          <w:sz w:val="20"/>
          <w:szCs w:val="20"/>
        </w:rPr>
        <w:t>w. pola pozostaną wypełnione wartością „nie dotyczy”.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6.5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Dane pełnomocnika Beneficjenta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7.3 do 7.6 wypełnia się analogicznie jak</w:t>
      </w:r>
      <w:r>
        <w:rPr>
          <w:sz w:val="20"/>
          <w:szCs w:val="20"/>
        </w:rPr>
        <w:t xml:space="preserve"> pola w zakresie od 6.1 do 6.4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7.7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8. Dane osoby uprawnionej do kontaktu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Pola w tej części nie zawierają żadnych reguł – można w nie wpisać </w:t>
      </w:r>
      <w:r>
        <w:rPr>
          <w:sz w:val="20"/>
          <w:szCs w:val="20"/>
        </w:rPr>
        <w:t>dowolny ciąg znakow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20" w:name="_Toc10817359"/>
      <w:bookmarkStart w:id="821" w:name="_Toc13481674"/>
      <w:bookmarkStart w:id="822" w:name="_Toc13559360"/>
      <w:bookmarkStart w:id="823" w:name="_Toc13651246"/>
      <w:bookmarkStart w:id="824" w:name="_Toc14429213"/>
      <w:r>
        <w:t>III. DANE Z UMOWY O PRZYZNANIU POMOCY (arkusz I_IV)</w:t>
      </w:r>
      <w:bookmarkEnd w:id="820"/>
      <w:bookmarkEnd w:id="821"/>
      <w:bookmarkEnd w:id="822"/>
      <w:bookmarkEnd w:id="823"/>
      <w:bookmarkEnd w:id="824"/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1. Nazwa Funduszu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zablokowane, wypełnione na stałe wartością „Europejski Fundusz Rolny na rzecz Rozwoju Obszarów Wiejskich”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Numer umowy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Należy uzupełnić brakujące ele</w:t>
      </w:r>
      <w:r>
        <w:rPr>
          <w:rFonts w:eastAsia="Times New Roman"/>
          <w:sz w:val="20"/>
          <w:szCs w:val="20"/>
        </w:rPr>
        <w:t>menty numeru umowy: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 – np. w przypadku 00001 trzeba wpisać każdą cyfrę, także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dwucyfrowy kod UM, wybierany z listy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dwucyfrowe oznacze</w:t>
      </w:r>
      <w:r>
        <w:rPr>
          <w:rFonts w:eastAsia="Times New Roman"/>
          <w:sz w:val="20"/>
          <w:szCs w:val="20"/>
        </w:rPr>
        <w:t>nie roku podpisania umowy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Data zawarcia umowy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datę w formacie: dd-mm-rrrr – reguła poprawności pilnuje aby nie była to data wcześniejsza niż 01-01-2016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Kwota pomocy z umowy przyznana dla danej transzy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Reguła poprawności pilnuje</w:t>
      </w:r>
      <w:r>
        <w:rPr>
          <w:rFonts w:eastAsia="Times New Roman"/>
          <w:sz w:val="20"/>
          <w:szCs w:val="20"/>
        </w:rPr>
        <w:t xml:space="preserve"> tylko aby w tym polu wpisywać liczbę – nie ma żadnych dodatkowych walidacji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25" w:name="_Toc10817360"/>
      <w:bookmarkStart w:id="826" w:name="_Toc13481675"/>
      <w:bookmarkStart w:id="827" w:name="_Toc13559361"/>
      <w:bookmarkStart w:id="828" w:name="_Toc13651247"/>
      <w:bookmarkStart w:id="829" w:name="_Toc14429214"/>
      <w:r>
        <w:t>IV. DANE DOTYCZĄCE WNIOSKU O PŁATNOŚĆ (arkusz I_IV)</w:t>
      </w:r>
      <w:bookmarkEnd w:id="825"/>
      <w:bookmarkEnd w:id="826"/>
      <w:bookmarkEnd w:id="827"/>
      <w:bookmarkEnd w:id="828"/>
      <w:bookmarkEnd w:id="829"/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Wniosek za okres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okres, za jaki składany jest wniosek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 formacie: dd-mm-rrrr: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pozycji „od…” pole jest </w:t>
      </w:r>
      <w:r>
        <w:rPr>
          <w:rFonts w:eastAsia="Times New Roman"/>
          <w:sz w:val="20"/>
          <w:szCs w:val="20"/>
        </w:rPr>
        <w:t>zablokowane – formuła automatycznie „ściągnie” wartość z pola III.3 Data zawarcia umowy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„do….” reguła poprawności pilnuje aby data „do” była późniejsza niż data „od”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Wnioskowana kwota pomocy w ramach danej transzy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</w:t>
      </w:r>
      <w:r>
        <w:rPr>
          <w:sz w:val="20"/>
          <w:szCs w:val="20"/>
        </w:rPr>
        <w:t>tylko liczbę dodatnią, nie większą niż koszty kwalifikowalne (III.4), z dokładnością do dwóch miejsc po przecinku.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30" w:name="_Toc10817361"/>
      <w:bookmarkStart w:id="831" w:name="_Toc13481676"/>
      <w:bookmarkStart w:id="832" w:name="_Toc13559362"/>
      <w:bookmarkStart w:id="833" w:name="_Toc13651248"/>
      <w:bookmarkStart w:id="834" w:name="_Toc14429215"/>
      <w:r>
        <w:lastRenderedPageBreak/>
        <w:t>V. RZECZOWE WYKONANIE BIZNESPLANU (arkusz V_ZRZ)</w:t>
      </w:r>
      <w:bookmarkEnd w:id="830"/>
      <w:bookmarkEnd w:id="831"/>
      <w:bookmarkEnd w:id="832"/>
      <w:bookmarkEnd w:id="833"/>
      <w:bookmarkEnd w:id="834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należy dodawać zgodnie z „mini-instrukcjami” </w:t>
      </w:r>
      <w:r>
        <w:rPr>
          <w:sz w:val="20"/>
          <w:szCs w:val="20"/>
        </w:rPr>
        <w:t xml:space="preserve">opisanymi w ogólnych wskazówkach </w:t>
      </w:r>
      <w:hyperlink r:id="rId295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35" w:name="_Toc10817362"/>
      <w:bookmarkStart w:id="836" w:name="_Toc13481677"/>
      <w:bookmarkStart w:id="837" w:name="_Toc13559363"/>
      <w:bookmarkStart w:id="838" w:name="_Toc13651249"/>
      <w:bookmarkStart w:id="839" w:name="_Toc14429216"/>
      <w:r>
        <w:t>VI. WSKAŹNIKI OSIĄGNIĘCIA CELU (ÓW) OPERACJI (arkusz VI_Wskazniki)</w:t>
      </w:r>
      <w:bookmarkEnd w:id="835"/>
      <w:bookmarkEnd w:id="836"/>
      <w:bookmarkEnd w:id="837"/>
      <w:bookmarkEnd w:id="838"/>
      <w:bookmarkEnd w:id="839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VII.1.1 Wskaźniki obowiązkowe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wszystkie pola w kolumnach „L.p.”, „Wskaźnik”, „Dezagrega</w:t>
      </w:r>
      <w:r>
        <w:rPr>
          <w:sz w:val="20"/>
          <w:szCs w:val="20"/>
        </w:rPr>
        <w:t>cja” i „Jednostka miary wskaźnika”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kolumnach „Docelowa wartość wskaźnika zgodnie z umową” oraz „Wartość wskaźnika osiągnięta w wyniku realizacji operacji” należy odpowiednio wprowadzić wartości wskaźników… zgodnie z umową i osiągnięte (tylko liczby całko</w:t>
      </w:r>
      <w:r>
        <w:rPr>
          <w:sz w:val="20"/>
          <w:szCs w:val="20"/>
        </w:rPr>
        <w:t>wite, większe od „0”).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kolumnie „Sposób pomiaru wskaźnika” należy – zgodnie z „Instrukcją wypełniania…” – „…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był mierzony / badany w trakcie realizacji operacji oraz w jaki sposób wskaźnik wpłynął na realizację celów operacji</w:t>
      </w:r>
      <w:r>
        <w:rPr>
          <w:rFonts w:eastAsia="Times New Roman"/>
          <w:color w:val="000000"/>
          <w:sz w:val="20"/>
          <w:szCs w:val="20"/>
          <w:lang w:eastAsia="ja-JP"/>
        </w:rPr>
        <w:t>” (dowolny ciąg znaków).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tabeli „Wskaźników obowiązkowycyh” nie można (nie należy) dodawać nowych wierszy.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VII.1.2 Pozostałe wskaźniki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pola tabeli – poza wierszem nagłówka – są odblokowane i można (należy) je wypełnić: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</w:t>
      </w:r>
      <w:r>
        <w:rPr>
          <w:rFonts w:eastAsia="Times New Roman"/>
          <w:sz w:val="20"/>
          <w:szCs w:val="20"/>
        </w:rPr>
        <w:t xml:space="preserve"> L.p. wpisując (jeżeli brakuje) numer kolejny (dowolny ciąg znaków – jednak z zachowaniem ciągłości i unikalności numeracji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„Docelowa wartość wskaźn</w:t>
      </w:r>
      <w:r>
        <w:rPr>
          <w:rFonts w:eastAsia="Times New Roman"/>
          <w:sz w:val="20"/>
          <w:szCs w:val="20"/>
        </w:rPr>
        <w:t xml:space="preserve">ika zgodnie z umową” wpisując </w:t>
      </w:r>
      <w:r>
        <w:rPr>
          <w:sz w:val="20"/>
          <w:szCs w:val="20"/>
        </w:rPr>
        <w:t xml:space="preserve">wartości wskaźników… zgodnie z umową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 dający się łatwo zide</w:t>
      </w:r>
      <w:r>
        <w:rPr>
          <w:rFonts w:eastAsia="Times New Roman"/>
          <w:sz w:val="20"/>
          <w:szCs w:val="20"/>
        </w:rPr>
        <w:t>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„Wartość wskaźnika osiągnięta w wyniku realizacji operacji” wpisując osiągnięte </w:t>
      </w:r>
      <w:r>
        <w:rPr>
          <w:sz w:val="20"/>
          <w:szCs w:val="20"/>
        </w:rPr>
        <w:t xml:space="preserve">wartości wskaźników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 xml:space="preserve">Sposób pomiaru </w:t>
      </w:r>
      <w:r>
        <w:rPr>
          <w:sz w:val="20"/>
          <w:szCs w:val="20"/>
        </w:rPr>
        <w:t xml:space="preserve">wskaźnika”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wskaźnik był mierzony / badany w trakcie realizacji operacji oraz w jaki sposób wskaźnik wpłynął na realizację celów operacji (dowolny ciąg znaków)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Potrzebne (brakujące) wiersze należy dodawać zgodnie z „mini-instrukcjami”</w:t>
      </w:r>
      <w:r>
        <w:rPr>
          <w:sz w:val="20"/>
          <w:szCs w:val="20"/>
        </w:rPr>
        <w:t xml:space="preserve">, opisanymi w ogólnych wskazówkach </w:t>
      </w:r>
      <w:hyperlink r:id="rId296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40" w:name="_Toc10817363"/>
      <w:bookmarkStart w:id="841" w:name="_Toc13481678"/>
      <w:bookmarkStart w:id="842" w:name="_Toc13559364"/>
      <w:bookmarkStart w:id="843" w:name="_Toc13651250"/>
      <w:bookmarkStart w:id="844" w:name="_Toc14429217"/>
      <w:r>
        <w:t>VII. INFORMACJA O ZAŁĄCZNIKACH (arkusz VII_Zal)</w:t>
      </w:r>
      <w:bookmarkEnd w:id="840"/>
      <w:bookmarkEnd w:id="841"/>
      <w:bookmarkEnd w:id="842"/>
      <w:bookmarkEnd w:id="843"/>
      <w:bookmarkEnd w:id="844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wierszu „Wniosek w postaci dokumentu elektronicznego, zapisanego na informatycznym nośniku danych” należy wybrać z listy </w:t>
      </w:r>
      <w:r>
        <w:rPr>
          <w:sz w:val="20"/>
          <w:szCs w:val="20"/>
        </w:rPr>
        <w:t>odpowiedź „TAK” albo „NIE”.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wybrać z listy odpowiednią wartość – inną niż „(wybierz z listy)”: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przypadku wartości </w:t>
      </w:r>
      <w:r>
        <w:rPr>
          <w:rFonts w:eastAsia="Times New Roman"/>
          <w:sz w:val="20"/>
          <w:szCs w:val="20"/>
        </w:rPr>
        <w:t>„TAK” w kolumnie „Liczba” (w tym samym wierszu) pojawi się tekst „Wpisz liczbę załączników”, przypominający o konieczności podania liczby załączanych dokumentów danego rodzaju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W wierszach A.8.a, A.8.b, B.13.a, B.13.b oraz w wierszu C.2 (i kolejnych, dodany</w:t>
      </w:r>
      <w:r>
        <w:rPr>
          <w:sz w:val="20"/>
          <w:szCs w:val="20"/>
        </w:rPr>
        <w:t xml:space="preserve">ch) wprowadzenie wartości (dowolnego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 kolumnie „Liczba”.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Uwaga! </w:t>
      </w:r>
      <w:r>
        <w:rPr>
          <w:rFonts w:eastAsia="Times New Roman"/>
          <w:sz w:val="20"/>
          <w:szCs w:val="20"/>
        </w:rPr>
        <w:t>Formuły, które uzupełniają wartości w kolumnie „Liczba” na podstawie</w:t>
      </w:r>
      <w:r>
        <w:rPr>
          <w:rFonts w:eastAsia="Times New Roman"/>
          <w:sz w:val="20"/>
          <w:szCs w:val="20"/>
        </w:rPr>
        <w:t xml:space="preserve"> wartości wybranej w kolumnie „TAK/ND” są jednorazowe – tzn. nie są zabezpieczone. Jeżeli w kolumnie „TAK/ND” wybrana zostanie wartość „TAK’ i w kolumnie „Liczba” komunikat „Wpisz liczbę załączników” zastąpiony zostanie liczbą, to dokonanie wyboru innej wa</w:t>
      </w:r>
      <w:r>
        <w:rPr>
          <w:rFonts w:eastAsia="Times New Roman"/>
          <w:sz w:val="20"/>
          <w:szCs w:val="20"/>
        </w:rPr>
        <w:t>rtości – w tym samym wierszu – w kolumnie „TAK/ND” (np. wprowadzono wartość w niewłaściwym wierszu) nie spowoduje już żadnych zmian w kolumnie „Liczba” – w tym samym wierszu – ewentualną korektę trzeba wykonać „ręcznie”.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pokazano wyniki działania f</w:t>
      </w:r>
      <w:r>
        <w:rPr>
          <w:rFonts w:eastAsia="Times New Roman"/>
          <w:sz w:val="20"/>
          <w:szCs w:val="20"/>
        </w:rPr>
        <w:t>ormuł powiązanych z wartościami wprowadzanymi w komórkach w kolumnie „TAK/ND” oraz w „edytowalnych” wierszach w kolumnie „Nazwa załącznika” (przykład pochodzi z formularza WoP w 19.2 Inne/Własne, ale w „Premiach” działa to dokładnie tak samo):</w:t>
      </w:r>
    </w:p>
    <w:p w:rsidR="00D814B8" w:rsidRDefault="0053412E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lastRenderedPageBreak/>
        <w:t>przed wprowa</w:t>
      </w:r>
      <w:r>
        <w:rPr>
          <w:rFonts w:eastAsia="Times New Roman"/>
          <w:sz w:val="20"/>
          <w:szCs w:val="20"/>
        </w:rPr>
        <w:t>dzeniem wartości (liczby załączników danego typu) w kolumnie „Liczba”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971388" cy="3761393"/>
            <wp:effectExtent l="0" t="0" r="0" b="0"/>
            <wp:docPr id="41" name="Obraz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388" cy="37613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oraz po uzupełnieniu wartości w kolumnie „Liczba”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927991" cy="3605159"/>
            <wp:effectExtent l="0" t="0" r="0" b="0"/>
            <wp:docPr id="42" name="Obraz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991" cy="3605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0"/>
        <w:ind w:left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297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45" w:name="_Toc10817364"/>
      <w:bookmarkStart w:id="846" w:name="_Toc13481679"/>
      <w:bookmarkStart w:id="847" w:name="_Toc13559365"/>
      <w:bookmarkStart w:id="848" w:name="_Toc13651251"/>
      <w:bookmarkStart w:id="849" w:name="_Toc14429218"/>
      <w:r>
        <w:t>VIII. OŚWIADCZENIA BENEFICJENTA (arkusz VIII_IX_Osw)</w:t>
      </w:r>
      <w:bookmarkEnd w:id="845"/>
      <w:bookmarkEnd w:id="846"/>
      <w:bookmarkEnd w:id="847"/>
      <w:bookmarkEnd w:id="848"/>
      <w:bookmarkEnd w:id="849"/>
    </w:p>
    <w:p w:rsidR="00D814B8" w:rsidRDefault="0053412E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oraz</w:t>
      </w:r>
    </w:p>
    <w:p w:rsidR="00D814B8" w:rsidRDefault="0053412E">
      <w:pPr>
        <w:pStyle w:val="Nagwek4"/>
        <w:keepNext w:val="0"/>
        <w:keepLines w:val="0"/>
        <w:widowControl w:val="0"/>
        <w:spacing w:before="0"/>
      </w:pPr>
      <w:bookmarkStart w:id="850" w:name="_Toc10817365"/>
      <w:bookmarkStart w:id="851" w:name="_Toc13481680"/>
      <w:bookmarkStart w:id="852" w:name="_Toc13559366"/>
      <w:bookmarkStart w:id="853" w:name="_Toc13651252"/>
      <w:bookmarkStart w:id="854" w:name="_Toc14429219"/>
      <w:r>
        <w:t>IX. OŚWIADCZENIE O WYPEŁNIENIU OBOWIĄZKU INFORMACYJNEGO (…) (arkusz VIII_IX_Osw)</w:t>
      </w:r>
      <w:bookmarkEnd w:id="850"/>
      <w:bookmarkEnd w:id="851"/>
      <w:bookmarkEnd w:id="852"/>
      <w:bookmarkEnd w:id="853"/>
      <w:bookmarkEnd w:id="854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tych arkuszach dostępne są tylko pola, w którym należy (można) wpisać </w:t>
      </w:r>
      <w:r>
        <w:rPr>
          <w:sz w:val="20"/>
          <w:szCs w:val="20"/>
        </w:rPr>
        <w:t>miejscowość (miejsce) oraz datę podpisania oświadczenia (dowolny ciąg znaków).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55" w:name="_Toc10817366"/>
      <w:bookmarkStart w:id="856" w:name="_Toc13481681"/>
      <w:bookmarkStart w:id="857" w:name="_Toc13559367"/>
      <w:bookmarkStart w:id="858" w:name="_Toc13651253"/>
      <w:bookmarkStart w:id="859" w:name="_Toc14429220"/>
      <w:r>
        <w:lastRenderedPageBreak/>
        <w:t>Załącznik nr VII. B.4 Oświadczenie dotyczące wyodrębnionych kont (…) (arkusz Zal_VII_B4)</w:t>
      </w:r>
      <w:bookmarkEnd w:id="855"/>
      <w:bookmarkEnd w:id="856"/>
      <w:bookmarkEnd w:id="857"/>
      <w:bookmarkEnd w:id="858"/>
      <w:bookmarkEnd w:id="859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Wartości do pól </w:t>
      </w:r>
      <w:r>
        <w:rPr>
          <w:sz w:val="20"/>
          <w:szCs w:val="20"/>
        </w:rPr>
        <w:t>„Imię i nazwisko / Nazwa Beneficjenta” oraz „Nr umowy z Urzędem Marszałkowskim” zaciągane są automatycznie z odpowiednich komórek w części II i III wniosku. Pola te nie są zablokowane – można zastąpić „automatyczną” wartość dowolnymi danymi wpisanymi samod</w:t>
      </w:r>
      <w:r>
        <w:rPr>
          <w:sz w:val="20"/>
          <w:szCs w:val="20"/>
        </w:rPr>
        <w:t xml:space="preserve">zielnie.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należy wypełnić „ręcznie” – zgodnie ze stanem faktycznym.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kont księgowych Beneficjenta należy dodawać zgodnie z „mini-instrukcjami” opisanymi w ogólnych wskazówkach </w:t>
      </w:r>
      <w:hyperlink r:id="rId298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860" w:name="_Toc10817367"/>
      <w:bookmarkStart w:id="861" w:name="_Toc13481682"/>
      <w:bookmarkStart w:id="862" w:name="_Toc13559368"/>
      <w:bookmarkStart w:id="863" w:name="_Toc13651254"/>
      <w:bookmarkStart w:id="864" w:name="_Toc14429221"/>
      <w:r>
        <w:t>Załącznik nr VII.C.1 Informacje dotyczące przetwarzania (…) (arkusz Zal_VII_C1_RODO)</w:t>
      </w:r>
      <w:bookmarkEnd w:id="860"/>
      <w:bookmarkEnd w:id="861"/>
      <w:bookmarkEnd w:id="862"/>
      <w:bookmarkEnd w:id="863"/>
      <w:bookmarkEnd w:id="864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można wprowadzać dane w polach „wykropkowanych” (z wyjątkiem pola „czytelny pospis osoby…”, które jest zablokowane).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Arkusz zawierający n</w:t>
      </w:r>
      <w:r>
        <w:rPr>
          <w:sz w:val="20"/>
          <w:szCs w:val="20"/>
        </w:rPr>
        <w:t xml:space="preserve">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 xml:space="preserve">. Samorząd Województwa – przed opublikowaniem formularzy wniosku o płatność na swojej stronie internetowej – może uzupełnić część danych i zablokować te pola w celu zmniejszenia ryzyka </w:t>
      </w:r>
      <w:r>
        <w:rPr>
          <w:sz w:val="20"/>
          <w:szCs w:val="20"/>
        </w:rPr>
        <w:t>popełnienia błędu podczas ich wielokrotnego, „ręcznego” wypełniania przy każdym składanym WoP.</w:t>
      </w:r>
    </w:p>
    <w:p w:rsidR="00D814B8" w:rsidRDefault="00D814B8">
      <w:pPr>
        <w:suppressAutoHyphens w:val="0"/>
      </w:pPr>
    </w:p>
    <w:p w:rsidR="00D814B8" w:rsidRDefault="0053412E">
      <w:pPr>
        <w:pStyle w:val="Nagwek2"/>
        <w:keepNext w:val="0"/>
        <w:keepLines w:val="0"/>
        <w:pageBreakBefore/>
        <w:widowControl w:val="0"/>
        <w:spacing w:before="240"/>
      </w:pPr>
      <w:bookmarkStart w:id="865" w:name="_Toc10640707"/>
      <w:bookmarkStart w:id="866" w:name="_Toc10737234"/>
      <w:bookmarkStart w:id="867" w:name="_Toc10792880"/>
      <w:bookmarkStart w:id="868" w:name="_Toc10817368"/>
      <w:bookmarkStart w:id="869" w:name="_Toc13481683"/>
      <w:bookmarkStart w:id="870" w:name="_Toc13559369"/>
      <w:bookmarkStart w:id="871" w:name="_Toc13651255"/>
      <w:bookmarkStart w:id="872" w:name="_Toc14429222"/>
      <w:r>
        <w:lastRenderedPageBreak/>
        <w:t>Poddziałanie 19.2 – granty</w:t>
      </w:r>
      <w:bookmarkEnd w:id="803"/>
      <w:bookmarkEnd w:id="804"/>
      <w:bookmarkEnd w:id="805"/>
      <w:bookmarkEnd w:id="806"/>
      <w:bookmarkEnd w:id="807"/>
      <w:bookmarkEnd w:id="808"/>
      <w:bookmarkEnd w:id="809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873" w:name="_Toc9422434"/>
      <w:bookmarkStart w:id="874" w:name="_Toc9505046"/>
      <w:bookmarkStart w:id="875" w:name="_Toc9594628"/>
      <w:bookmarkStart w:id="876" w:name="_Toc9866942"/>
      <w:bookmarkStart w:id="877" w:name="_Toc9924646"/>
      <w:bookmarkStart w:id="878" w:name="_Toc10015029"/>
      <w:bookmarkStart w:id="879" w:name="_Toc10556804"/>
      <w:bookmarkStart w:id="880" w:name="_Toc10640708"/>
      <w:bookmarkStart w:id="881" w:name="_Toc10737235"/>
      <w:bookmarkStart w:id="882" w:name="_Toc10792881"/>
      <w:bookmarkStart w:id="883" w:name="_Toc10817369"/>
      <w:bookmarkStart w:id="884" w:name="_Toc13481684"/>
      <w:bookmarkStart w:id="885" w:name="_Toc13559370"/>
      <w:bookmarkStart w:id="886" w:name="_Toc13651256"/>
      <w:bookmarkStart w:id="887" w:name="_Toc14429223"/>
      <w:r>
        <w:t>Wniosek o przyznanie pomocy (W-1_19.2_G)</w:t>
      </w:r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888" w:name="_Toc9422435"/>
      <w:bookmarkStart w:id="889" w:name="_Toc9505047"/>
      <w:bookmarkStart w:id="890" w:name="_Toc9594629"/>
      <w:bookmarkStart w:id="891" w:name="_Toc9866943"/>
      <w:bookmarkStart w:id="892" w:name="_Toc9924647"/>
      <w:bookmarkStart w:id="893" w:name="_Toc10015030"/>
      <w:bookmarkStart w:id="894" w:name="_Toc10556805"/>
      <w:bookmarkStart w:id="895" w:name="_Toc10640709"/>
      <w:bookmarkStart w:id="896" w:name="_Toc10737236"/>
      <w:bookmarkStart w:id="897" w:name="_Toc10792882"/>
      <w:bookmarkStart w:id="898" w:name="_Toc10817370"/>
      <w:bookmarkStart w:id="899" w:name="_Toc13481685"/>
      <w:bookmarkStart w:id="900" w:name="_Toc13559371"/>
      <w:bookmarkStart w:id="901" w:name="_Toc13651257"/>
      <w:bookmarkStart w:id="902" w:name="_Toc14429224"/>
      <w:r>
        <w:t>Wniosek o płatność (W-2_19.2_G)</w:t>
      </w:r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D814B8" w:rsidRDefault="00D814B8">
      <w:pPr>
        <w:suppressAutoHyphens w:val="0"/>
      </w:pPr>
      <w:bookmarkStart w:id="903" w:name="_Toc9422436"/>
      <w:bookmarkStart w:id="904" w:name="_Toc9505048"/>
      <w:bookmarkStart w:id="905" w:name="_Toc9594630"/>
      <w:bookmarkStart w:id="906" w:name="_Toc9866944"/>
      <w:bookmarkStart w:id="907" w:name="_Toc9924648"/>
      <w:bookmarkStart w:id="908" w:name="_Toc10015031"/>
      <w:bookmarkStart w:id="909" w:name="_Toc10556806"/>
    </w:p>
    <w:p w:rsidR="00D814B8" w:rsidRDefault="0053412E">
      <w:pPr>
        <w:pStyle w:val="Nagwek2"/>
        <w:keepNext w:val="0"/>
        <w:keepLines w:val="0"/>
        <w:pageBreakBefore/>
        <w:widowControl w:val="0"/>
        <w:spacing w:before="240"/>
      </w:pPr>
      <w:bookmarkStart w:id="910" w:name="_Toc10640710"/>
      <w:bookmarkStart w:id="911" w:name="_Toc10737237"/>
      <w:bookmarkStart w:id="912" w:name="_Toc10792883"/>
      <w:bookmarkStart w:id="913" w:name="_Toc10817371"/>
      <w:bookmarkStart w:id="914" w:name="_Toc13481686"/>
      <w:bookmarkStart w:id="915" w:name="_Toc13559372"/>
      <w:bookmarkStart w:id="916" w:name="_Toc13651258"/>
      <w:bookmarkStart w:id="917" w:name="_Toc14429225"/>
      <w:r>
        <w:lastRenderedPageBreak/>
        <w:t xml:space="preserve">Poddziałanie 19.3 – </w:t>
      </w:r>
      <w:r>
        <w:t>projekty współpracy</w:t>
      </w:r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918" w:name="_Toc9422437"/>
      <w:bookmarkStart w:id="919" w:name="_Toc9505049"/>
      <w:bookmarkStart w:id="920" w:name="_Toc9594631"/>
      <w:bookmarkStart w:id="921" w:name="_Toc9866945"/>
      <w:bookmarkStart w:id="922" w:name="_Toc9924649"/>
      <w:bookmarkStart w:id="923" w:name="_Toc10015032"/>
      <w:bookmarkStart w:id="924" w:name="_Toc10556807"/>
      <w:bookmarkStart w:id="925" w:name="_Toc10640711"/>
      <w:bookmarkStart w:id="926" w:name="_Toc10737238"/>
      <w:bookmarkStart w:id="927" w:name="_Toc10792884"/>
      <w:bookmarkStart w:id="928" w:name="_Toc10817372"/>
      <w:bookmarkStart w:id="929" w:name="_Toc13481687"/>
      <w:bookmarkStart w:id="930" w:name="_Toc13559373"/>
      <w:bookmarkStart w:id="931" w:name="_Toc13651259"/>
      <w:bookmarkStart w:id="932" w:name="_Toc14429226"/>
      <w:r>
        <w:t>Wniosek o przyznanie pomocy (W-1_19.3) – wersja 2.z</w:t>
      </w:r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33" w:name="_Toc13481688"/>
      <w:bookmarkStart w:id="934" w:name="_Toc13559374"/>
      <w:bookmarkStart w:id="935" w:name="_Toc13651260"/>
      <w:bookmarkStart w:id="936" w:name="_Toc14429227"/>
      <w:r>
        <w:t>Sekcja tytułowa (arkusz I_III)</w:t>
      </w:r>
      <w:bookmarkEnd w:id="933"/>
      <w:bookmarkEnd w:id="934"/>
      <w:bookmarkEnd w:id="935"/>
      <w:bookmarkEnd w:id="936"/>
    </w:p>
    <w:p w:rsidR="00D814B8" w:rsidRDefault="0053412E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UM. Na</w:t>
      </w:r>
      <w:r>
        <w:rPr>
          <w:sz w:val="20"/>
          <w:szCs w:val="20"/>
        </w:rPr>
        <w:t xml:space="preserve"> formularzu *.xlsx 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37" w:name="_Toc13481689"/>
      <w:bookmarkStart w:id="938" w:name="_Toc13559375"/>
      <w:bookmarkStart w:id="939" w:name="_Toc13651261"/>
      <w:bookmarkStart w:id="940" w:name="_Toc14429228"/>
      <w:r>
        <w:t>I. CZĘŚĆ OGÓLNA (arkusz I_III)</w:t>
      </w:r>
      <w:bookmarkEnd w:id="937"/>
      <w:bookmarkEnd w:id="938"/>
      <w:bookmarkEnd w:id="939"/>
      <w:bookmarkEnd w:id="940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Cel złożenia formularza wniosku o przyznanie pomocy: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Wniosek dotyczy operacji polegającej na: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</w:t>
      </w:r>
      <w:r>
        <w:rPr>
          <w:sz w:val="20"/>
          <w:szCs w:val="20"/>
        </w:rPr>
        <w:t>tości z listy wyboru.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41" w:name="_Toc13481690"/>
      <w:bookmarkStart w:id="942" w:name="_Toc13559376"/>
      <w:bookmarkStart w:id="943" w:name="_Toc13651262"/>
      <w:bookmarkStart w:id="944" w:name="_Toc14429229"/>
      <w:r>
        <w:t>II.A. IDENTYFIKACJA LGD UMOCOWANEJ DO DZIAŁANIA W IMIENIU (…) (arkusz I_III)</w:t>
      </w:r>
      <w:bookmarkEnd w:id="941"/>
      <w:bookmarkEnd w:id="942"/>
      <w:bookmarkEnd w:id="943"/>
      <w:bookmarkEnd w:id="944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1.1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1.2 Nazwa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</w:t>
      </w:r>
      <w:r>
        <w:rPr>
          <w:sz w:val="20"/>
          <w:szCs w:val="20"/>
        </w:rPr>
        <w:t>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1.3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1.4 Numer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</w:t>
      </w:r>
      <w:r>
        <w:rPr>
          <w:sz w:val="20"/>
          <w:szCs w:val="20"/>
        </w:rPr>
        <w:t>REGON i Numer NIP – w przypadku wpisania krótszego ciągu (zawierającego mniej niż wymaganą liczbę znaków) maska wprowadzania uzupełni ciąg o brakującą liczbę znaków, wstawiając zera na początku ciągu!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Adres siedziby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Pole 2.1 jest zablokowane z </w:t>
      </w:r>
      <w:r>
        <w:rPr>
          <w:sz w:val="20"/>
          <w:szCs w:val="20"/>
        </w:rPr>
        <w:t>wprowadzoną (bez możliwości edycji) wartością „Polska”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2.2 należy wybrać, przy pomocy listy rozwijalnej, województwo.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2.5 należy wpisać ciąg pięciu cyfr bez znaku „-” – maska wprowadzania wyświetli kod w formacie ##-###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w tej c</w:t>
      </w:r>
      <w:r>
        <w:rPr>
          <w:sz w:val="20"/>
          <w:szCs w:val="20"/>
        </w:rPr>
        <w:t>zęści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Adres do korespondencji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Ponieważ adres korespondencyjny nie musi dotyczyć Polski, dlatego w polu 3.1 należy wybrać z dostępnej listy właściwy kraj, z którym powiązany jest a</w:t>
      </w:r>
      <w:r>
        <w:rPr>
          <w:sz w:val="20"/>
          <w:szCs w:val="20"/>
        </w:rPr>
        <w:t>dres do korespondencji. Jeżeli zostanie wybrana Polska, wtedy z pól 3.2, 3.3 i 3.4 zostaną usunięte wartości „nie dotyczy”, a w polu 3.2 trzeba będzie wybrać z listy odpowiednie województwo. W przypadku wybrania w polu 3.1 wartości wartości innej niż „Pols</w:t>
      </w:r>
      <w:r>
        <w:rPr>
          <w:sz w:val="20"/>
          <w:szCs w:val="20"/>
        </w:rPr>
        <w:t>ka” ww. pola pozostaną wypełnione wartością „nie dotyczy”.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3.5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Dane osób upoważnionych do reprezentowania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Dostępne są wszystkie pola </w:t>
      </w:r>
      <w:r>
        <w:rPr>
          <w:sz w:val="20"/>
          <w:szCs w:val="20"/>
        </w:rPr>
        <w:t xml:space="preserve">w czterech kolumnach tabeli – z wyłączeniem wiersza będącego jej nagłówkiem.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lastRenderedPageBreak/>
        <w:t xml:space="preserve">Potrzebne (brakujące) wiersze w tabeli osób upoważnionych należy dodawać zgodnie z „mini-instrukcjami” opisanymi w ogólnych wskazówkach </w:t>
      </w:r>
      <w:hyperlink r:id="rId299" w:history="1">
        <w:r>
          <w:rPr>
            <w:rStyle w:val="Hipercze"/>
            <w:sz w:val="20"/>
            <w:szCs w:val="20"/>
          </w:rPr>
          <w:t>dodawania wier</w:t>
        </w:r>
        <w:r>
          <w:rPr>
            <w:rStyle w:val="Hipercze"/>
            <w:sz w:val="20"/>
            <w:szCs w:val="20"/>
          </w:rPr>
          <w:t>szy</w:t>
        </w:r>
      </w:hyperlink>
      <w:r>
        <w:rPr>
          <w:sz w:val="20"/>
          <w:szCs w:val="20"/>
        </w:rPr>
        <w:t>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Dane pełnomocnika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5.3 do 5.6 wypełnia się analogicznie jak pola w zakresie od 3.1 do 3.4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5.7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Dane osoby uprawnio</w:t>
      </w:r>
      <w:r>
        <w:rPr>
          <w:b/>
          <w:sz w:val="20"/>
          <w:szCs w:val="20"/>
        </w:rPr>
        <w:t>nej do kontaktu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w tej części nie zawierają żadnych reguł – można w nie wpisać dowolny ciąg znakow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45" w:name="_Toc13481693"/>
      <w:bookmarkStart w:id="946" w:name="_Toc13559377"/>
      <w:bookmarkStart w:id="947" w:name="_Toc13651263"/>
      <w:bookmarkStart w:id="948" w:name="_Toc14429230"/>
      <w:r>
        <w:t>II.B. IDENTYFIKACJA LGD UCZESTNICZĄCYCH W REALIZACJI OPERACJI (arkusz I_III)</w:t>
      </w:r>
      <w:bookmarkEnd w:id="945"/>
      <w:bookmarkEnd w:id="946"/>
      <w:bookmarkEnd w:id="947"/>
      <w:bookmarkEnd w:id="948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</w:t>
      </w:r>
      <w:r>
        <w:rPr>
          <w:sz w:val="20"/>
          <w:szCs w:val="20"/>
        </w:rPr>
        <w:t>w pliku WoPP_19_3_2z_ark_wpolwn.xlsx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Dane identyfikacyjne LGD nr: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całkowitą, większą od „0” 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1.1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</w:t>
      </w:r>
      <w:r>
        <w:rPr>
          <w:b/>
          <w:sz w:val="20"/>
          <w:szCs w:val="20"/>
        </w:rPr>
        <w:t>1.2 Nazwa LGD krajowej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1.3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1.4 Numer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</w:t>
      </w:r>
      <w:r>
        <w:rPr>
          <w:sz w:val="20"/>
          <w:szCs w:val="20"/>
        </w:rPr>
        <w:t>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REGON i Numer NIP – w przypadku wpisania krótszego ciągu (zawierającego mniej niż wymaganą liczbę znaków) maska wprowadzania uzupełni ciąg o brakującą liczbę znaków, wstawiając zera na początku ciągu!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</w:t>
      </w:r>
      <w:r>
        <w:rPr>
          <w:b/>
          <w:sz w:val="20"/>
          <w:szCs w:val="20"/>
        </w:rPr>
        <w:t xml:space="preserve"> Adres siedziby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2.1 jest zablokowane z wprowadzoną (bez możliwości edycji) wartością „Polska”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2.2 należy wybrać, przy pomocy listy rozwijalnej, województwo.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2.5 należy wpisać ciąg pięciu cyfr bez znaku „-” – maska wprowadzania wyświe</w:t>
      </w:r>
      <w:r>
        <w:rPr>
          <w:sz w:val="20"/>
          <w:szCs w:val="20"/>
        </w:rPr>
        <w:t>tli kod w formacie ##-###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w tej części nie zawierają żadnych reguł – można w nie wpisać dowolny ciąg znakow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49" w:name="_Toc13559378"/>
      <w:bookmarkStart w:id="950" w:name="_Toc13651264"/>
      <w:bookmarkStart w:id="951" w:name="_Toc14429231"/>
      <w:r>
        <w:t>II.C. DANE DOTYCZĄCE POZOSTAŁYCH PARTNERÓW PROJEKTU (arkusz I_III)</w:t>
      </w:r>
      <w:bookmarkEnd w:id="949"/>
      <w:bookmarkEnd w:id="950"/>
      <w:bookmarkEnd w:id="951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</w:t>
      </w:r>
      <w:r>
        <w:rPr>
          <w:sz w:val="20"/>
          <w:szCs w:val="20"/>
        </w:rPr>
        <w:t>ępna jest w pliku WoPP_19_3_2z_ark_wpolwn.xlsx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„Nr”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całkowitą, większą od „0” – należy przy tym zachować ciągłość numeracji, uwzględniającą nadane już numery partnerów ubiegających się o przyznanie pomocy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 xml:space="preserve">Pole 1.1 </w:t>
      </w:r>
      <w:r>
        <w:rPr>
          <w:b/>
          <w:sz w:val="20"/>
          <w:szCs w:val="20"/>
        </w:rPr>
        <w:t>Nazwa partnera projektu współpracy</w:t>
      </w:r>
    </w:p>
    <w:p w:rsidR="00D814B8" w:rsidRDefault="0053412E">
      <w:pPr>
        <w:spacing w:before="240"/>
      </w:pPr>
      <w:r>
        <w:t>W tym polu można wpisać dowolny ciąg znaków</w:t>
      </w:r>
    </w:p>
    <w:p w:rsidR="00D814B8" w:rsidRDefault="00D814B8"/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lastRenderedPageBreak/>
        <w:t>Pole 1.1.1 Kraj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1.1.2 Kraj UE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1.1.3 Partner jest: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należy wybrać</w:t>
      </w:r>
      <w:r>
        <w:rPr>
          <w:sz w:val="20"/>
          <w:szCs w:val="20"/>
        </w:rPr>
        <w:t xml:space="preserve"> wartość z listy wyboru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Liczba wszystkich partnerów projektu współpracy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Wartość w tym polu powinna być równa liczbie wszystkich partnerów projektu – ubiegających się i nieubiegających się o przyznanie pomocy – liczba całkowita, większa od zera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52" w:name="_Toc13559379"/>
      <w:bookmarkStart w:id="953" w:name="_Toc13651265"/>
      <w:bookmarkStart w:id="954" w:name="_Toc14429232"/>
      <w:r>
        <w:t>III.</w:t>
      </w:r>
      <w:r>
        <w:t xml:space="preserve"> DANE DOTYCZĄCE PROJEKTU WSPÓŁPRACY (arkusz I_III)</w:t>
      </w:r>
      <w:bookmarkEnd w:id="952"/>
      <w:bookmarkEnd w:id="953"/>
      <w:bookmarkEnd w:id="954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 Operacja wpisuje się w cele szczegółowe główne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1.1 jest zablokowane z wprowadzoną (bez możliwości edycji) wartością „6B Wspieranie lokalnego rozwoju na obszarach wiejskich”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1.2.1.1 Środo</w:t>
      </w:r>
      <w:r>
        <w:rPr>
          <w:b/>
          <w:sz w:val="20"/>
          <w:szCs w:val="20"/>
        </w:rPr>
        <w:t>wisko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1.2.1.2 Klimat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1.2.1.3 Innowacje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Pola 2.1 Operacja wpisuje się w cele LSR każdej z LGD ubiegając</w:t>
      </w:r>
      <w:r>
        <w:rPr>
          <w:b/>
          <w:sz w:val="20"/>
          <w:szCs w:val="20"/>
        </w:rPr>
        <w:t>ej się o pomoc w ramach projektu współpracy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2.1.1 – w wierszach 1. 2. 3. itd.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2.1.2 – w wierszach 1. 2. 3. itd.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2.1.3 – w wierszach 1. 2. 3. itd.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2.1.4 – w w</w:t>
      </w:r>
      <w:r>
        <w:rPr>
          <w:sz w:val="20"/>
          <w:szCs w:val="20"/>
        </w:rPr>
        <w:t>ierszach 1. 2. 3. itd.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Pola podsekcji 2.1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wypełnia się w </w:t>
      </w:r>
      <w:r>
        <w:rPr>
          <w:b/>
          <w:sz w:val="20"/>
          <w:szCs w:val="20"/>
        </w:rPr>
        <w:t>osobnych</w:t>
      </w:r>
      <w:r>
        <w:rPr>
          <w:sz w:val="20"/>
          <w:szCs w:val="20"/>
        </w:rPr>
        <w:t xml:space="preserve"> wierszach dla </w:t>
      </w:r>
      <w:r>
        <w:rPr>
          <w:b/>
          <w:sz w:val="20"/>
          <w:szCs w:val="20"/>
        </w:rPr>
        <w:t xml:space="preserve">każdej </w:t>
      </w:r>
      <w:r>
        <w:rPr>
          <w:sz w:val="20"/>
          <w:szCs w:val="20"/>
        </w:rPr>
        <w:t xml:space="preserve">LGD </w:t>
      </w:r>
      <w:r>
        <w:rPr>
          <w:b/>
          <w:sz w:val="20"/>
          <w:szCs w:val="20"/>
        </w:rPr>
        <w:t xml:space="preserve">ubiegającej się </w:t>
      </w:r>
      <w:r>
        <w:rPr>
          <w:sz w:val="20"/>
          <w:szCs w:val="20"/>
        </w:rPr>
        <w:t>o przyznanie pomocy. Innymi słowy – wiersze 1. 2. 3. itd. w podsekcjach 2.1.1, 2.1.2, 2.1.3 oraz 2.1.4 wypełn</w:t>
      </w:r>
      <w:r>
        <w:rPr>
          <w:sz w:val="20"/>
          <w:szCs w:val="20"/>
        </w:rPr>
        <w:t xml:space="preserve">ia się </w:t>
      </w:r>
      <w:r>
        <w:rPr>
          <w:b/>
          <w:sz w:val="20"/>
          <w:szCs w:val="20"/>
        </w:rPr>
        <w:t>tylko</w:t>
      </w:r>
      <w:r>
        <w:rPr>
          <w:sz w:val="20"/>
          <w:szCs w:val="20"/>
        </w:rPr>
        <w:t xml:space="preserve"> dla partnerów (LGD) ubiegających się o pomoc zachowując </w:t>
      </w:r>
      <w:r>
        <w:rPr>
          <w:b/>
          <w:sz w:val="20"/>
          <w:szCs w:val="20"/>
        </w:rPr>
        <w:t>zgodność numeru wiersza w danej podsekcji z numerem partnera</w:t>
      </w:r>
      <w:r>
        <w:rPr>
          <w:sz w:val="20"/>
          <w:szCs w:val="20"/>
        </w:rPr>
        <w:t xml:space="preserve"> określonym w części II.B. formularza WoPP.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Na przykład: 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w podsekcji 2.1.1, w wierszu 1 podano kod i nazwę </w:t>
      </w:r>
      <w:r>
        <w:rPr>
          <w:b/>
          <w:i/>
          <w:sz w:val="20"/>
          <w:szCs w:val="20"/>
        </w:rPr>
        <w:t>celu ogólnego nr 3</w:t>
      </w:r>
      <w:r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pochodzącego z LSR </w:t>
      </w:r>
      <w:r>
        <w:rPr>
          <w:b/>
          <w:i/>
          <w:sz w:val="20"/>
          <w:szCs w:val="20"/>
        </w:rPr>
        <w:t>parnera nr 1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w podsekcji 2.1.2 w wierszu 1 należy zatem podać kod i nazwę celu szczegółowego (np. 3.2), </w:t>
      </w:r>
      <w:r>
        <w:rPr>
          <w:b/>
          <w:i/>
          <w:sz w:val="20"/>
          <w:szCs w:val="20"/>
        </w:rPr>
        <w:t>należącego do celu ogólnego nr 3</w:t>
      </w:r>
      <w:r>
        <w:rPr>
          <w:i/>
          <w:sz w:val="20"/>
          <w:szCs w:val="20"/>
        </w:rPr>
        <w:t xml:space="preserve"> z LSR </w:t>
      </w:r>
      <w:r>
        <w:rPr>
          <w:b/>
          <w:i/>
          <w:sz w:val="20"/>
          <w:szCs w:val="20"/>
        </w:rPr>
        <w:t>partnera nr 1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>zaś w podsekcji 2.1.3 w wierszu 1 należy podać kod i nazwę przedsięwzięcia (np.</w:t>
      </w:r>
      <w:r>
        <w:rPr>
          <w:i/>
          <w:sz w:val="20"/>
          <w:szCs w:val="20"/>
        </w:rPr>
        <w:t xml:space="preserve"> 3.2.4), </w:t>
      </w:r>
      <w:r>
        <w:rPr>
          <w:b/>
          <w:i/>
          <w:sz w:val="20"/>
          <w:szCs w:val="20"/>
        </w:rPr>
        <w:t>należącego do celu szczegółowego nr 3.2 i celu ogólnego nr 3</w:t>
      </w:r>
      <w:r>
        <w:rPr>
          <w:i/>
          <w:sz w:val="20"/>
          <w:szCs w:val="20"/>
        </w:rPr>
        <w:t xml:space="preserve"> z LSR </w:t>
      </w:r>
      <w:r>
        <w:rPr>
          <w:b/>
          <w:i/>
          <w:sz w:val="20"/>
          <w:szCs w:val="20"/>
        </w:rPr>
        <w:t>partnera nr 1</w:t>
      </w:r>
    </w:p>
    <w:p w:rsidR="00D814B8" w:rsidRDefault="0053412E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w podsekcji 2.1.4 w wierszu 1 należy uzasadnić zgodność operacji z LSR </w:t>
      </w:r>
      <w:r>
        <w:rPr>
          <w:b/>
          <w:i/>
          <w:sz w:val="20"/>
          <w:szCs w:val="20"/>
        </w:rPr>
        <w:t>partnera nr 1</w:t>
      </w:r>
    </w:p>
    <w:p w:rsidR="00D814B8" w:rsidRDefault="00D814B8">
      <w:pPr>
        <w:pageBreakBefore/>
        <w:suppressAutoHyphens w:val="0"/>
        <w:rPr>
          <w:sz w:val="20"/>
          <w:szCs w:val="20"/>
        </w:rPr>
      </w:pP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Należy także pamiętać, że kody i/lub nazwy celów ogólnych, celów szczegółowych i</w:t>
      </w:r>
      <w:r>
        <w:rPr>
          <w:sz w:val="20"/>
          <w:szCs w:val="20"/>
        </w:rPr>
        <w:t xml:space="preserve"> przedsięwzięć określonych (wpisanych do formularza wniosku) dla poszczególnych partnerów muszą być zgodne z kodami i/lub nazwami celów ogólnych, celów szczegółowych i przedsięwzięć z LSR tych LGD. Absolutnie niedopuszczalną sytuacją jest taka, gdy partner</w:t>
      </w:r>
      <w:r>
        <w:rPr>
          <w:sz w:val="20"/>
          <w:szCs w:val="20"/>
        </w:rPr>
        <w:t>om przypisane zostają we wniosku cele lub przedsięwzięcia, których próżno szukać w ich LSR!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Pola 3.1, 3.2 i 4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polach tych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Zakres operacji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wierszach od 5.1 do 5.6 należy wybrać, w ostatniej kolumnie, odpowiednią </w:t>
      </w:r>
      <w:r>
        <w:rPr>
          <w:sz w:val="20"/>
          <w:szCs w:val="20"/>
        </w:rPr>
        <w:t>wartość z listy wyboru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Rodzaj operacji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Do edycji dostępne jest tylko pole w punkcie 6.1 Operacja inwestycyjna – pole w punkcie 6.2 zostanie wypełnone automatycznie, w zależności od wartości wybranej w w polu 6.1. Takie rozwiązanie zapobiega udziele</w:t>
      </w:r>
      <w:r>
        <w:rPr>
          <w:sz w:val="20"/>
          <w:szCs w:val="20"/>
        </w:rPr>
        <w:t>niu dwóch jednakowych odpowiedzi na pytania 6.1 i 6.2.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Cel (-e) operacji (projektu współpracy)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polu tym można wpisać dowolny ciąg znaków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55" w:name="_Toc13651266"/>
      <w:bookmarkStart w:id="956" w:name="_Toc14429233"/>
      <w:r>
        <w:t>Arkusz III_8_Wskazn</w:t>
      </w:r>
      <w:bookmarkEnd w:id="955"/>
      <w:bookmarkEnd w:id="956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8.1 Wskaźniki obowiązkowe</w:t>
      </w:r>
    </w:p>
    <w:p w:rsidR="00D814B8" w:rsidRDefault="0053412E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Zablokowane są wszystkie pola w kolumnach „L.p.”, „Wskaź</w:t>
      </w:r>
      <w:r>
        <w:rPr>
          <w:sz w:val="20"/>
          <w:szCs w:val="20"/>
        </w:rPr>
        <w:t>nik” i „Jednostka miary wskaźnika”</w:t>
      </w:r>
    </w:p>
    <w:p w:rsidR="00D814B8" w:rsidRDefault="0053412E">
      <w:pPr>
        <w:jc w:val="both"/>
      </w:pPr>
      <w:r>
        <w:rPr>
          <w:sz w:val="20"/>
          <w:szCs w:val="20"/>
        </w:rPr>
        <w:t xml:space="preserve">W kolumnie „Partner / Partnerzy realizujący zadanie / grupę zadań (nr LGD)” należy wprowadzić numery wszystkich Partnerów, deklarujących realizację danego wskaźnika – np. </w:t>
      </w:r>
      <w:r>
        <w:rPr>
          <w:i/>
          <w:sz w:val="20"/>
          <w:szCs w:val="20"/>
        </w:rPr>
        <w:t>1, 2, 3, 5</w:t>
      </w:r>
    </w:p>
    <w:p w:rsidR="00D814B8" w:rsidRDefault="0053412E">
      <w:pPr>
        <w:jc w:val="both"/>
        <w:rPr>
          <w:sz w:val="20"/>
          <w:szCs w:val="20"/>
        </w:rPr>
      </w:pPr>
      <w:r>
        <w:rPr>
          <w:sz w:val="20"/>
          <w:szCs w:val="20"/>
        </w:rPr>
        <w:t>W kolumnie „Wartość docelowa wskaźnika”</w:t>
      </w:r>
      <w:r>
        <w:rPr>
          <w:sz w:val="20"/>
          <w:szCs w:val="20"/>
        </w:rPr>
        <w:t xml:space="preserve"> należy odpowiednio wprowadzić wartości wskaźników – tylko liczby, większe od „0”</w:t>
      </w:r>
    </w:p>
    <w:p w:rsidR="00D814B8" w:rsidRDefault="0053412E">
      <w:pPr>
        <w:jc w:val="both"/>
      </w:pPr>
      <w:r>
        <w:rPr>
          <w:sz w:val="20"/>
          <w:szCs w:val="20"/>
        </w:rPr>
        <w:t xml:space="preserve">W kolumnie „Sposób pomiaru wskaźnika” należy 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będzie mierzony / badany w trakcie realizacji operacji oraz w jaki sposób wskaźnik wpłynie na reali</w:t>
      </w:r>
      <w:r>
        <w:rPr>
          <w:rFonts w:eastAsia="Times New Roman"/>
          <w:color w:val="000000"/>
          <w:sz w:val="20"/>
          <w:szCs w:val="20"/>
          <w:lang w:eastAsia="ja-JP"/>
        </w:rPr>
        <w:t>zację celów operacji (dowolny ciąg znaków).</w:t>
      </w:r>
    </w:p>
    <w:p w:rsidR="00D814B8" w:rsidRDefault="0053412E"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tabeli „Wskaźników obowiązkowycyh” nie można (nie należy) dodawać nowych wierszy.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8.2 Pozostałe wskaźniki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Wszystkie pola tabeli – poza wierszem nagłówka – są odblokowane i można (należy) je </w:t>
      </w:r>
      <w:r>
        <w:rPr>
          <w:sz w:val="20"/>
          <w:szCs w:val="20"/>
        </w:rPr>
        <w:t>wypełnić:</w:t>
      </w:r>
    </w:p>
    <w:p w:rsidR="00D814B8" w:rsidRDefault="0053412E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L.p. wpisując (jeżeli brakuje) numer kolejny (dowolny ciąg znaków – jednak z zachowaniem ciągłości i unikalności numeracji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D814B8" w:rsidRDefault="0053412E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</w:pPr>
      <w:r>
        <w:rPr>
          <w:sz w:val="20"/>
          <w:szCs w:val="20"/>
        </w:rPr>
        <w:t>w kolumnie „Par</w:t>
      </w:r>
      <w:r>
        <w:rPr>
          <w:sz w:val="20"/>
          <w:szCs w:val="20"/>
        </w:rPr>
        <w:t xml:space="preserve">tner / Partnerzy realizujący zadanie / grupę zadań (nr LGD)” wprowadzając numery wszystkich Partnerów, deklarujących realizację danego wskaźnika – np. </w:t>
      </w:r>
      <w:r>
        <w:rPr>
          <w:i/>
          <w:sz w:val="20"/>
          <w:szCs w:val="20"/>
        </w:rPr>
        <w:t>1, 3, 4, 7</w:t>
      </w:r>
    </w:p>
    <w:p w:rsidR="00D814B8" w:rsidRDefault="0053412E">
      <w:pPr>
        <w:pStyle w:val="Akapitzlist"/>
        <w:widowControl w:val="0"/>
        <w:numPr>
          <w:ilvl w:val="0"/>
          <w:numId w:val="6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>Wartość docelowa wskaźnika</w:t>
      </w:r>
      <w:r>
        <w:rPr>
          <w:rFonts w:eastAsia="Times New Roman"/>
          <w:sz w:val="20"/>
          <w:szCs w:val="20"/>
        </w:rPr>
        <w:t xml:space="preserve">” wpisując deklarowane </w:t>
      </w:r>
      <w:r>
        <w:rPr>
          <w:sz w:val="20"/>
          <w:szCs w:val="20"/>
        </w:rPr>
        <w:t xml:space="preserve">wartości wskaźników – liczby </w:t>
      </w:r>
      <w:r>
        <w:rPr>
          <w:sz w:val="20"/>
          <w:szCs w:val="20"/>
        </w:rPr>
        <w:t>większe od „0”, z dokładnością do dwóch miejsc po przecinku</w:t>
      </w:r>
    </w:p>
    <w:p w:rsidR="00D814B8" w:rsidRDefault="0053412E">
      <w:pPr>
        <w:pStyle w:val="Akapitzlist"/>
        <w:widowControl w:val="0"/>
        <w:numPr>
          <w:ilvl w:val="0"/>
          <w:numId w:val="6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>Sposób pomiaru ws</w:t>
      </w:r>
      <w:r>
        <w:rPr>
          <w:sz w:val="20"/>
          <w:szCs w:val="20"/>
        </w:rPr>
        <w:t xml:space="preserve">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wskaźnik będzie mierzony / badany w trakcie realizacji operacji oraz w jaki sposób wskaźnik wpłynie na realizację celów operacji (dowolny ciąg znaków)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Brakujące wiersze należy dodawać zgodnie z „mini-instrukcjami”, opisanymi</w:t>
      </w:r>
      <w:r>
        <w:rPr>
          <w:sz w:val="20"/>
          <w:szCs w:val="20"/>
        </w:rPr>
        <w:t xml:space="preserve"> w ogólnych wskazówkach </w:t>
      </w:r>
      <w:hyperlink r:id="rId30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57" w:name="_Toc13651267"/>
      <w:bookmarkStart w:id="958" w:name="_Toc14429234"/>
      <w:r>
        <w:t>Arkusz III_IV</w:t>
      </w:r>
      <w:bookmarkEnd w:id="957"/>
      <w:bookmarkEnd w:id="958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8.3 Projekt współpracy wykorzystuje zasoby lokalne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(pytania) od 8.3.1 do 8.3.6 należy wypełnić poprzez wybór odpowiedniej wartości z listy. W przypadku wybrania</w:t>
      </w:r>
      <w:r>
        <w:rPr>
          <w:sz w:val="20"/>
          <w:szCs w:val="20"/>
        </w:rPr>
        <w:t xml:space="preserve"> wartości </w:t>
      </w:r>
      <w:r>
        <w:rPr>
          <w:sz w:val="20"/>
          <w:szCs w:val="20"/>
        </w:rPr>
        <w:lastRenderedPageBreak/>
        <w:t>„TAK” w polu 8.3.6 należy wypełnić dodatkowe pola 8.3.6.1, 8.3.6.2 (i ewentualnie dalsze) opisujące inne, niewymienione wyżej zasoby lokalne – każdy w osobnym wierszu.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Potrzebne (brakujące) wiersze należy dodawać zgodnie z „mini-instrukcjami”, op</w:t>
      </w:r>
      <w:r>
        <w:rPr>
          <w:sz w:val="20"/>
          <w:szCs w:val="20"/>
        </w:rPr>
        <w:t xml:space="preserve">isanymi w ogólnych wskazówkach </w:t>
      </w:r>
      <w:hyperlink r:id="rId30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8.4 Grupy docelowe, do których skierowany jest projekt współpracy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(pytania) od 8.4.1 do 8.4.14 należy wypełnić poprzez wybór odpowiedniej wartości z listy. W przypadku</w:t>
      </w:r>
      <w:r>
        <w:rPr>
          <w:sz w:val="20"/>
          <w:szCs w:val="20"/>
        </w:rPr>
        <w:t xml:space="preserve"> wybrania wartości „TAK” w polu 8.4.14 należy wypełnić dodatkowe pola 8.4.14.1, 8.4.14.2 (i ewentualnie dalsze) opisujące inne, niewymienione wyżej grupy docelowe – każdą w osobnym wierszu.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Potrzebne (brakujące) wiersze należy dodawać zgodnie z „mini-instr</w:t>
      </w:r>
      <w:r>
        <w:rPr>
          <w:sz w:val="20"/>
          <w:szCs w:val="20"/>
        </w:rPr>
        <w:t xml:space="preserve">ukcjami”, opisanymi w ogólnych wskazówkach </w:t>
      </w:r>
      <w:hyperlink r:id="rId302" w:history="1">
        <w:r>
          <w:rPr>
            <w:rStyle w:val="Hipercze"/>
            <w:sz w:val="20"/>
            <w:szCs w:val="20"/>
          </w:rPr>
          <w:t>do</w:t>
        </w:r>
        <w:bookmarkStart w:id="959" w:name="_Hlt13651968"/>
        <w:r>
          <w:rPr>
            <w:rStyle w:val="Hipercze"/>
            <w:sz w:val="20"/>
            <w:szCs w:val="20"/>
          </w:rPr>
          <w:t>d</w:t>
        </w:r>
        <w:bookmarkEnd w:id="959"/>
        <w:r>
          <w:rPr>
            <w:rStyle w:val="Hipercze"/>
            <w:sz w:val="20"/>
            <w:szCs w:val="20"/>
          </w:rPr>
          <w:t>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9. Rodzaj projektu współpracy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obu przypadkach – „Międzyterytorialny” i „Międzynarodowy” – należy wybrać odpowiednią wartość z listy wyboru. W przypadku „rodzaj</w:t>
      </w:r>
      <w:r>
        <w:rPr>
          <w:sz w:val="20"/>
          <w:szCs w:val="20"/>
        </w:rPr>
        <w:t>u projektu” obie odpowiedzi mogą być jednakowe – oczywiście pod warunkiem, że nie będzie to odpowiedź „(wybierz z listy)”.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Pola w podsekcji 10.1 Lokalizacja projektu współpracy (miejsce realizacji operacji)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części III.10 arkusza (do </w:t>
      </w:r>
      <w:r>
        <w:rPr>
          <w:sz w:val="20"/>
          <w:szCs w:val="20"/>
        </w:rPr>
        <w:t>wielokrotnego powielenia) dostępna jest w pliku WoPP_19_3_2z_ark_wpolwn.xlsx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Ponieważ adres miejsca realizacji operacji nie musi dotyczyć Polski (np. wizyta studyjna u </w:t>
      </w:r>
      <w:r>
        <w:t>HAN Changfu, Ministra Rolnictwa ChRL</w:t>
      </w:r>
      <w:r>
        <w:rPr>
          <w:sz w:val="20"/>
          <w:szCs w:val="20"/>
        </w:rPr>
        <w:t>), dlatego w polu 10.1.1 należy wybrać z dostępnej l</w:t>
      </w:r>
      <w:r>
        <w:rPr>
          <w:sz w:val="20"/>
          <w:szCs w:val="20"/>
        </w:rPr>
        <w:t>isty właściwy kraj, z którym powiązany jest adres miejsca realizacji operacji. Jeżeli zostanie wybrana Polska, wtedy z pól 10.1.2, 10.1.3 i 10.1.4 zostaną usunięte wartości „nie dotyczy”, a w polu 10.1.2 trzeba będzie wybrać z listy odpowiednie województwo</w:t>
      </w:r>
      <w:r>
        <w:rPr>
          <w:sz w:val="20"/>
          <w:szCs w:val="20"/>
        </w:rPr>
        <w:t>. W przypadku wybrania w polu 10.1.1 wartości wartości innej niż „Polska” ww. pola pozostaną wypełnione wartością „nie dotyczy”.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10.1.5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polu 10</w:t>
      </w:r>
      <w:r>
        <w:rPr>
          <w:sz w:val="20"/>
          <w:szCs w:val="20"/>
        </w:rPr>
        <w:t>.1.15 Inne miejsce przechowywania / garażowania należy wybrać z listy odpowiedź „TAK” albo „NIE”. W przypadku wyboru odpowiedzi „TAK” należy wypełnić także pola w podsekcji 10.2 – analogicznie jak w przypadku pól od 10.1.1 do 10.1.10.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11. Informacja o</w:t>
      </w:r>
      <w:r>
        <w:rPr>
          <w:b/>
          <w:sz w:val="20"/>
          <w:szCs w:val="20"/>
        </w:rPr>
        <w:t xml:space="preserve"> działkach ewidencyjnych wchodzących (…)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Zablokowane są pierwsze trzy wiersze (nagłówek) tabeli „Informacji o działkach…”. W wierszach z danymi tabeli – dla każdej działki w osobnym wierszu – należy:</w:t>
      </w:r>
    </w:p>
    <w:p w:rsidR="00D814B8" w:rsidRDefault="0053412E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1 uzupełnić (jeśli dodano kolejne wiersze) </w:t>
      </w:r>
      <w:r>
        <w:rPr>
          <w:sz w:val="20"/>
          <w:szCs w:val="20"/>
        </w:rPr>
        <w:t>liczbę porządkową, zachowując kolejność (i niepowtarzalność) numeracji względem wierszy poprzedzających – dowolny ciąg znaków</w:t>
      </w:r>
    </w:p>
    <w:p w:rsidR="00D814B8" w:rsidRDefault="0053412E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2 wpisać numer Partnera (LGD) lub Partnerów realizujących zadanie/zadania na obszarze opisywanej działki – dowolny ciąg</w:t>
      </w:r>
      <w:r>
        <w:rPr>
          <w:sz w:val="20"/>
          <w:szCs w:val="20"/>
        </w:rPr>
        <w:t xml:space="preserve"> znaków, np. 1, 2, 4</w:t>
      </w:r>
    </w:p>
    <w:p w:rsidR="00D814B8" w:rsidRDefault="0053412E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3 wybrać z listy województwo, w którym położona jest działka – pojedyncza wartość z listy wyboru</w:t>
      </w:r>
    </w:p>
    <w:p w:rsidR="00D814B8" w:rsidRDefault="0053412E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kolumnach 4 i 5 wpisać odpowiednio nazwy powiatu i gminy, w których położona jest działka – dowolny ciąg znaków</w:t>
      </w:r>
    </w:p>
    <w:p w:rsidR="00D814B8" w:rsidRDefault="0053412E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kolumnach 6</w:t>
      </w:r>
      <w:r>
        <w:rPr>
          <w:sz w:val="20"/>
          <w:szCs w:val="20"/>
        </w:rPr>
        <w:t>-8 wpisać odpowiednie dane, zgodne z ewidencją gruntów i budynków – dowolny ciąg znaków</w:t>
      </w:r>
    </w:p>
    <w:p w:rsidR="00D814B8" w:rsidRDefault="0053412E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9 wpisać właściwe informacje szczegółowe – dowolny ciąg znaków</w:t>
      </w:r>
    </w:p>
    <w:p w:rsidR="00D814B8" w:rsidRDefault="0053412E">
      <w:pPr>
        <w:spacing w:before="240"/>
      </w:pPr>
      <w:r>
        <w:rPr>
          <w:sz w:val="20"/>
          <w:szCs w:val="20"/>
        </w:rPr>
        <w:t>Potrzebne (brakujące) wiersze należy dodawać zgodnie z „mini-instrukcjami”, opisanymi w ogólny</w:t>
      </w:r>
      <w:r>
        <w:rPr>
          <w:sz w:val="20"/>
          <w:szCs w:val="20"/>
        </w:rPr>
        <w:t xml:space="preserve">ch wskazówkach </w:t>
      </w:r>
      <w:hyperlink r:id="rId303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spacing w:before="240" w:after="0"/>
        <w:rPr>
          <w:b/>
          <w:sz w:val="20"/>
          <w:szCs w:val="20"/>
        </w:rPr>
      </w:pPr>
      <w:r>
        <w:rPr>
          <w:b/>
          <w:sz w:val="20"/>
          <w:szCs w:val="20"/>
        </w:rPr>
        <w:t>Część 12. Planowany termin zakończenia etapu operacji</w:t>
      </w:r>
    </w:p>
    <w:p w:rsidR="00D814B8" w:rsidRDefault="0053412E">
      <w:pPr>
        <w:spacing w:before="240" w:after="0"/>
        <w:rPr>
          <w:sz w:val="20"/>
          <w:szCs w:val="20"/>
        </w:rPr>
      </w:pPr>
      <w:r>
        <w:rPr>
          <w:sz w:val="20"/>
          <w:szCs w:val="20"/>
        </w:rPr>
        <w:t>W zależności od liczby etapów należy wypełnić odpowiednie pola wpisując datę w formacie miesiąc/rok. Można wpisać np.:</w:t>
      </w:r>
    </w:p>
    <w:p w:rsidR="00D814B8" w:rsidRDefault="0053412E">
      <w:pPr>
        <w:spacing w:after="0"/>
        <w:jc w:val="both"/>
      </w:pPr>
      <w:r>
        <w:rPr>
          <w:i/>
          <w:sz w:val="20"/>
          <w:szCs w:val="20"/>
        </w:rPr>
        <w:t>lipiec 2018, lipiec/2</w:t>
      </w:r>
      <w:r>
        <w:rPr>
          <w:i/>
          <w:sz w:val="20"/>
          <w:szCs w:val="20"/>
        </w:rPr>
        <w:t>018, 31-07-2018, 07-2018, 07-18</w:t>
      </w:r>
      <w:r>
        <w:rPr>
          <w:sz w:val="20"/>
          <w:szCs w:val="20"/>
        </w:rPr>
        <w:t xml:space="preserve"> – excel zinterpretuje je prawidłowo, pozostawiając w komórce wartość 07/18. Natomiast użycie „.” (kropki/kropek) w dacie spowoduje wyświetlenie się komunikatu o błędzie – dlatego lepiej ich (kropek) nie używać w tych polach.</w:t>
      </w:r>
    </w:p>
    <w:p w:rsidR="00D814B8" w:rsidRDefault="0053412E">
      <w:pPr>
        <w:spacing w:before="240" w:after="0"/>
        <w:rPr>
          <w:b/>
          <w:sz w:val="20"/>
          <w:szCs w:val="20"/>
        </w:rPr>
      </w:pPr>
      <w:r>
        <w:rPr>
          <w:b/>
          <w:sz w:val="20"/>
          <w:szCs w:val="20"/>
        </w:rPr>
        <w:t>Część 13. Określenie możliwości realizacji operacji (…)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Odpowiedzi na pytanie 13.1 należy dokonać poprzez wybranie odpowiedniej wartości z listy wyboru. W przypadku wybrania wartości „TAK” w pytaniu 13.2 pole odpowiedzi pozostanie niezmienione (pozostanie</w:t>
      </w:r>
      <w:r>
        <w:rPr>
          <w:sz w:val="20"/>
          <w:szCs w:val="20"/>
        </w:rPr>
        <w:t xml:space="preserve"> wypełnione predefiniowaną wartością „0”). </w:t>
      </w:r>
      <w:r>
        <w:rPr>
          <w:sz w:val="20"/>
          <w:szCs w:val="20"/>
        </w:rPr>
        <w:lastRenderedPageBreak/>
        <w:t>W przypadku wyboru wartości  „NIE” w polu odpowiedzi na pytanie 13.2 pojawi się monit o podanie szacunkowej wartości (netto) nakładów projektu. Należy wtedy wpisać szacowaną wartość. Nie należy pozostawiać pola 13</w:t>
      </w:r>
      <w:r>
        <w:rPr>
          <w:sz w:val="20"/>
          <w:szCs w:val="20"/>
        </w:rPr>
        <w:t>.2 wypełnionego domyślnym komunikatem „Podaj wartość nakładów”.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Odpowiedzi na pytania 13.3 oraz 13.4 należy dokonać poprzez wybranie odpowiedniej wartości z listy wyboru. W przypadku wybrania wartości „TAK” w obu przypadkach (zarazem 13.3 i 13.4) w pytaniu</w:t>
      </w:r>
      <w:r>
        <w:rPr>
          <w:sz w:val="20"/>
          <w:szCs w:val="20"/>
        </w:rPr>
        <w:t xml:space="preserve"> 13.5 pole odpowiedzi pozostanie niezmienione (pozostanie wypełnione predefiniowaną wartością „0”). W przypadku wyboru wartości „NIE”, przynajmniej w jednym z tych pytań, w polu odpowiedzi na pytanie 13.5 pojawi się monit o podanie liczby miesięcy, o które</w:t>
      </w:r>
      <w:r>
        <w:rPr>
          <w:sz w:val="20"/>
          <w:szCs w:val="20"/>
        </w:rPr>
        <w:t xml:space="preserve"> wydłużyłaby się realizacj projektu. Należy wtedy wpisać szacowaną wartość (liczba całkowita, większa od „0”). Nie należy pozostawiać pola 13.5 wypełnionego domyślnym komunikatem „Ile dłużej trwałby proces?”.</w:t>
      </w:r>
    </w:p>
    <w:p w:rsidR="00D814B8" w:rsidRDefault="0053412E">
      <w:pPr>
        <w:spacing w:before="240" w:after="0"/>
        <w:rPr>
          <w:b/>
          <w:sz w:val="20"/>
          <w:szCs w:val="20"/>
        </w:rPr>
      </w:pPr>
      <w:r>
        <w:rPr>
          <w:b/>
          <w:sz w:val="20"/>
          <w:szCs w:val="20"/>
        </w:rPr>
        <w:t>Część 14. Budżet projektu współpracy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Tabelę bud</w:t>
      </w:r>
      <w:r>
        <w:rPr>
          <w:sz w:val="20"/>
          <w:szCs w:val="20"/>
        </w:rPr>
        <w:t>żetu wypełnia się tylko w przypadku operacji polegającej na realizacji projektu współpracy.</w:t>
      </w:r>
    </w:p>
    <w:p w:rsidR="00D814B8" w:rsidRDefault="0053412E">
      <w:pPr>
        <w:spacing w:before="240" w:after="0"/>
        <w:jc w:val="both"/>
      </w:pPr>
      <w:r>
        <w:rPr>
          <w:sz w:val="20"/>
          <w:szCs w:val="20"/>
        </w:rPr>
        <w:t>Tabelę wypełnia się dla wszystkich (</w:t>
      </w:r>
      <w:r>
        <w:rPr>
          <w:b/>
          <w:sz w:val="20"/>
          <w:szCs w:val="20"/>
        </w:rPr>
        <w:t>wnioskujących</w:t>
      </w:r>
      <w:r>
        <w:rPr>
          <w:sz w:val="20"/>
          <w:szCs w:val="20"/>
        </w:rPr>
        <w:t xml:space="preserve"> i </w:t>
      </w:r>
      <w:r>
        <w:rPr>
          <w:b/>
          <w:sz w:val="20"/>
          <w:szCs w:val="20"/>
        </w:rPr>
        <w:t>niewnioskujących</w:t>
      </w:r>
      <w:r>
        <w:rPr>
          <w:sz w:val="20"/>
          <w:szCs w:val="20"/>
        </w:rPr>
        <w:t xml:space="preserve"> o przyznanie pomocy) partnerów projektu.</w:t>
      </w:r>
    </w:p>
    <w:p w:rsidR="00D814B8" w:rsidRDefault="0053412E">
      <w:pPr>
        <w:spacing w:before="240" w:after="0"/>
        <w:jc w:val="both"/>
      </w:pPr>
      <w:r>
        <w:rPr>
          <w:sz w:val="20"/>
          <w:szCs w:val="20"/>
        </w:rPr>
        <w:t>W tabeli budżetu, do edycji dostępne są wszystkie pola</w:t>
      </w:r>
      <w:r>
        <w:rPr>
          <w:sz w:val="20"/>
          <w:szCs w:val="20"/>
        </w:rPr>
        <w:t>, za wyjątkiem nagłówka oraz predefiniowanych wartości w kolumnie „Lp.”. W przypadku dodania kolejnych wierszy należy uzupełnić brakujące numery (liczby) porządkowe w kolumnie „Lp.”. Potrzebne (brakujące) wiersze należy dodawać zgodnie z „mini-instrukcjami</w:t>
      </w:r>
      <w:r>
        <w:rPr>
          <w:sz w:val="20"/>
          <w:szCs w:val="20"/>
        </w:rPr>
        <w:t xml:space="preserve">”, opisanymi w ogólnych wskazówkach </w:t>
      </w:r>
      <w:hyperlink r:id="rId304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14.1 należy wpisać numer partnera projektu (liczba całkowita, większa od zera), zgodny z numerem, określonym odpowiednio w części II.A, II.B lub II.C wniosku – dl</w:t>
      </w:r>
      <w:r>
        <w:rPr>
          <w:sz w:val="20"/>
          <w:szCs w:val="20"/>
        </w:rPr>
        <w:t>a każdego partnera w osobnym wierszu.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14.2 należy wpisać kwotę kosztów całkowitych operacji, przypadającą na danego partnera – liczba większa lub równa „0”, z dokładnością do dwóch miejsc po przecinku.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14.3 należy wpisać kwotę kosztów</w:t>
      </w:r>
      <w:r>
        <w:rPr>
          <w:sz w:val="20"/>
          <w:szCs w:val="20"/>
        </w:rPr>
        <w:t xml:space="preserve"> kwalifikowalnych operacji, przypadającą na danego partnera – liczba mniejsza lub równa kwocie kosztów całkowitych, z dokładnością do dwóch miejsc po przecinku.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60" w:name="_Toc14429235"/>
      <w:r>
        <w:t>IV. PLAN FINANSOWY OPERACJI (arkusz III_IV)</w:t>
      </w:r>
      <w:bookmarkEnd w:id="960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</w:t>
      </w:r>
      <w:r>
        <w:rPr>
          <w:sz w:val="20"/>
          <w:szCs w:val="20"/>
        </w:rPr>
        <w:t>owielenia) dostępna jest w pliku WoPP_19_3_2z_ark_wpolwn.xlsx</w:t>
      </w:r>
    </w:p>
    <w:p w:rsidR="00D814B8" w:rsidRDefault="0053412E">
      <w:pPr>
        <w:spacing w:before="240" w:after="0"/>
        <w:jc w:val="both"/>
      </w:pPr>
      <w:r>
        <w:rPr>
          <w:sz w:val="20"/>
          <w:szCs w:val="20"/>
        </w:rPr>
        <w:t xml:space="preserve">„Plan” powiela się i wypełnia dla każdego z partnerów projektu </w:t>
      </w:r>
      <w:r>
        <w:rPr>
          <w:b/>
          <w:sz w:val="20"/>
          <w:szCs w:val="20"/>
        </w:rPr>
        <w:t>ubiegających się</w:t>
      </w:r>
      <w:r>
        <w:rPr>
          <w:sz w:val="20"/>
          <w:szCs w:val="20"/>
        </w:rPr>
        <w:t xml:space="preserve"> o przyznanie pomocy – i tylko dla nich.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„Dane dotyczące LGD nr:”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całkowi</w:t>
      </w:r>
      <w:r>
        <w:rPr>
          <w:sz w:val="20"/>
          <w:szCs w:val="20"/>
        </w:rPr>
        <w:t>tą, większą od „0”. Nr „1”, w tej części wniosku, wpisany jest na stałe i dotyczy LGD umocowanej do działania w imieniu partnerów. Pozostałe „Plany” i numery partnerów należy wypełnić w arkuszach dodatkowych, znajdujących się w pliku WoPP_19_3_2z_ark_wpolw</w:t>
      </w:r>
      <w:r>
        <w:rPr>
          <w:sz w:val="20"/>
          <w:szCs w:val="20"/>
        </w:rPr>
        <w:t>n.xlsx.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„Całkowite koszty operacji łącznie:”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Wartość w tym polu obliczana jest automatycznie, jednak można ją „ręcznie” skorygować. W takim przypadku reguła formatowania warunkowego sprawdzi, czy wpisana kwota jest równa sumie kwot „przygotowania” i „</w:t>
      </w:r>
      <w:r>
        <w:rPr>
          <w:sz w:val="20"/>
          <w:szCs w:val="20"/>
        </w:rPr>
        <w:t>realizacji” – jeżeli jest, nic się nie stanie, jeśli natomiast „badana” kwota będzie różna (mniejsza lub większa) od oczekiwanej, wtedy kolor czcionki zmieni się na czerwony, w celu zasygnalizowania ewentualnego błędu. Należy pamiętać, że formatowanie komó</w:t>
      </w:r>
      <w:r>
        <w:rPr>
          <w:sz w:val="20"/>
          <w:szCs w:val="20"/>
        </w:rPr>
        <w:t>rek (w tym także warunkowe) nie jest zablokowane – jeżeli (z jakichkolwiek względów) użytkownik uzna, że to on ma rację, a nie excel, to może zmienić lub usunąć reguły formatowania warunkowego. Wartość dopuszczalna w tym polu (w przypadku „ręcznego” wypełn</w:t>
      </w:r>
      <w:r>
        <w:rPr>
          <w:sz w:val="20"/>
          <w:szCs w:val="20"/>
        </w:rPr>
        <w:t>ienia), to liczba, większa od „0”, z dokładnością do dwóch miejsc po przecinku.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„W tym przygotowanie projektu współpracy:”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lub równą „0”, z dokładnością do dwóch miejsc po przecinku.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„W tym realizacja</w:t>
      </w:r>
      <w:r>
        <w:rPr>
          <w:b/>
          <w:sz w:val="20"/>
          <w:szCs w:val="20"/>
        </w:rPr>
        <w:t xml:space="preserve"> projektu współpracy:”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lub równą „0”, z dokładnością do dwóch miejsc po przecinku.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1. Plan finansowy operacji, w części za którą odpowiada partner projektu współpracy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tabeli Planu finansowego zablokowa</w:t>
      </w:r>
      <w:r>
        <w:rPr>
          <w:sz w:val="20"/>
          <w:szCs w:val="20"/>
        </w:rPr>
        <w:t>ne są wszystkie pola w wierszu nagłówka, oraz w kolumnie 1.1 Etap realizacji (w tym 1.5 Razem).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1.2 należy wypełnić dane we wszystkich etapach uwzględnionych (wykazanych) w części III.12 wniosku – niezależnie od tego, czy dany partner deklaruje </w:t>
      </w:r>
      <w:r>
        <w:rPr>
          <w:sz w:val="20"/>
          <w:szCs w:val="20"/>
        </w:rPr>
        <w:t>udział w każdym z nich. Liczba etapów określona jest bowiem dla całej operacji, zaś dany partner nie musi uczestniczyć we wszystkich, jednak do każdego z tych etapów powinien się odnieść w swoim indywidualnym Planie finansowym, na przykład:</w:t>
      </w:r>
    </w:p>
    <w:p w:rsidR="00D814B8" w:rsidRDefault="0053412E">
      <w:pPr>
        <w:spacing w:before="240"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operacja został</w:t>
      </w:r>
      <w:r>
        <w:rPr>
          <w:i/>
          <w:sz w:val="20"/>
          <w:szCs w:val="20"/>
        </w:rPr>
        <w:t>a zaplanowana do realizacji w czterech etapach</w:t>
      </w:r>
    </w:p>
    <w:p w:rsidR="00D814B8" w:rsidRDefault="0053412E">
      <w:pPr>
        <w:spacing w:before="240" w:after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388220" cy="825748"/>
            <wp:effectExtent l="0" t="0" r="2930" b="0"/>
            <wp:docPr id="43" name="Obraz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8220" cy="8257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spacing w:before="240"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dany partner zaplanował poniesienie kosztów (swój wkład finansowy, merytoryczny, wsparcie duchowe) tylko w ramach dwóch etapów (np. drugim i czwartym) – zatem tabela Planu finansowego dla tego partnera powin</w:t>
      </w:r>
      <w:r>
        <w:rPr>
          <w:i/>
          <w:sz w:val="20"/>
          <w:szCs w:val="20"/>
        </w:rPr>
        <w:t>na zostać wypełniona jak na zamieszczonej niżej grafice</w:t>
      </w:r>
    </w:p>
    <w:p w:rsidR="00D814B8" w:rsidRDefault="0053412E">
      <w:pPr>
        <w:spacing w:before="240" w:after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33843" cy="3338190"/>
            <wp:effectExtent l="0" t="0" r="0" b="0"/>
            <wp:docPr id="44" name="Obraz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3" cy="33381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Planu finansowego należy: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1.2 wpisać kwotę kosztów kwalifikowalnych – liczba, większa lub równa „0”, z dokładnością do dwóch miejsc po przecinku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1.3 </w:t>
      </w:r>
      <w:r>
        <w:rPr>
          <w:sz w:val="20"/>
          <w:szCs w:val="20"/>
        </w:rPr>
        <w:t>wpisać wnioskowaną kwotę pomocy – liczba całkowita, mniejsza lub równa kwocie kosztów kwalifikowanych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wartości w kolumnie 1.3.1 obliczane są automatycznie, jako 63,63% kwot wnioskowanej pomocy, zaokrąglone w dół, do drugiego miejsca po przecinku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wartości w</w:t>
      </w:r>
      <w:r>
        <w:rPr>
          <w:sz w:val="20"/>
          <w:szCs w:val="20"/>
        </w:rPr>
        <w:t xml:space="preserve"> kolumnie 1.3.2 obliczane są automatycznie, jako różnica kwot 1.3 i 1.3.1, z dokładnością do dwóch miejsc po przecinku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Analogicznie jak w przypadku kwoty całkowitych kosztów operacji (i jej składowych), tak w tabeli planu finansowego automatycznie obliczon</w:t>
      </w:r>
      <w:r>
        <w:rPr>
          <w:sz w:val="20"/>
          <w:szCs w:val="20"/>
        </w:rPr>
        <w:t>e wartości można skorygować „ręcznie”. W takim przypadku reguła formatowania warunkowego sprawdzi, czy wpisana kwota pomocy równa sumie kwot „EFRROW” i „krajowych” – jeżeli jest, nic się nie stanie, jeśli natomiast „badana” kwota będzie różna (mniejsza lub</w:t>
      </w:r>
      <w:r>
        <w:rPr>
          <w:sz w:val="20"/>
          <w:szCs w:val="20"/>
        </w:rPr>
        <w:t xml:space="preserve"> większa) od oczekiwanej, wtedy kolor czcionki zmieni się na czerwony, w celu zasygnalizowania ewentualnego błędu.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2. Prefinansowanie operacji</w:t>
      </w:r>
    </w:p>
    <w:p w:rsidR="00D814B8" w:rsidRDefault="0053412E">
      <w:pPr>
        <w:spacing w:before="240" w:after="0"/>
        <w:jc w:val="both"/>
      </w:pPr>
      <w:r>
        <w:rPr>
          <w:b/>
          <w:sz w:val="20"/>
          <w:szCs w:val="20"/>
        </w:rPr>
        <w:t>Uwaga.</w:t>
      </w:r>
      <w:r>
        <w:rPr>
          <w:sz w:val="20"/>
          <w:szCs w:val="20"/>
        </w:rPr>
        <w:t xml:space="preserve"> Wybór formy prefinasowania jest wspólny dla wszystkich partnerów operacji – w ramach jednej operacji</w:t>
      </w:r>
      <w:r>
        <w:rPr>
          <w:sz w:val="20"/>
          <w:szCs w:val="20"/>
        </w:rPr>
        <w:t xml:space="preserve"> nie może wystąpić sytuacja, w której część partnerów wnioskuje o zaliczkę, a część o wyprzedzające finansowanie. Należy o tym pamiętać, </w:t>
      </w:r>
      <w:r>
        <w:rPr>
          <w:sz w:val="20"/>
          <w:szCs w:val="20"/>
        </w:rPr>
        <w:lastRenderedPageBreak/>
        <w:t>gdyż reguła pilnująca wyboru tylko jednej formy prefinansowania ograniczona jest tylko do danych poszczególnych partner</w:t>
      </w:r>
      <w:r>
        <w:rPr>
          <w:sz w:val="20"/>
          <w:szCs w:val="20"/>
        </w:rPr>
        <w:t>ów – dotyczy pojedynczego partnera, a nie całej operacji.</w:t>
      </w:r>
    </w:p>
    <w:p w:rsidR="00D814B8" w:rsidRDefault="00D814B8"/>
    <w:p w:rsidR="00D814B8" w:rsidRDefault="00D814B8">
      <w:pPr>
        <w:rPr>
          <w:b/>
          <w:sz w:val="20"/>
          <w:szCs w:val="20"/>
        </w:rPr>
      </w:pP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2.1 zaliczki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przypadku wyboru prefinansowania w formie zaliczki należy w polu 2.1 wybrać z listy odpowiedź „TAK”. Efektem wyboru będzie: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wyliczenie maksymalnych kwot zaliczki, na podstawie </w:t>
      </w:r>
      <w:r>
        <w:rPr>
          <w:sz w:val="20"/>
          <w:szCs w:val="20"/>
        </w:rPr>
        <w:t>wnioskowanych kwot pomocy w poszczególnych etapach (po prawej stronie tabeli zaliczek, poza obszarem wydruku /na szarym tle/)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automatyczne wstawienie odpowiedzi „NIE” w polu 2.2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automatyczne „wyzerowanie” kwoty wyprzedzającego finansowania</w:t>
      </w:r>
    </w:p>
    <w:p w:rsidR="00D814B8" w:rsidRDefault="0053412E">
      <w:pPr>
        <w:spacing w:before="120" w:after="0"/>
        <w:jc w:val="both"/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>
            <wp:extent cx="6633843" cy="3433443"/>
            <wp:effectExtent l="0" t="0" r="0" b="0"/>
            <wp:docPr id="45" name="Obraz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3" cy="3433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Tabela 2.1.1. </w:t>
      </w:r>
      <w:r>
        <w:rPr>
          <w:b/>
          <w:sz w:val="20"/>
          <w:szCs w:val="20"/>
        </w:rPr>
        <w:t>Wysokość zaliczki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tabeli zaliczek zablokowany jest wiersz nagłówka oraz kolumna z numerami transz. Po prawej stronie tabeli (poza obszarem wydruku) znajduje się pomocnicza kolumna, w której automatycznie wyliczane są – na podstawie wartości wpisanych do </w:t>
      </w:r>
      <w:r>
        <w:rPr>
          <w:sz w:val="20"/>
          <w:szCs w:val="20"/>
        </w:rPr>
        <w:t>tabeli planu finansowego, w kolumnie wnioskowanej kwoty pomocy – maksymalne kwoty transz. Reguły poprawności pilnują, aby kwota wnioskowanej zaliczki, którą do kolumny 2.1.1.2 należy wpisać „ręcznie”, nie była wyższa niż wyliczona wartość maksymalna. Zgodn</w:t>
      </w:r>
      <w:r>
        <w:rPr>
          <w:sz w:val="20"/>
          <w:szCs w:val="20"/>
        </w:rPr>
        <w:t xml:space="preserve">ie z instrukcją wypełniania wniosku należy wypełnić także etapy/transze, o które nie będzie wnioskował dany partner, wpisując – w kolumnie 2.1.1.2 – wartość „0”. 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2.1.1.3 należy dla transz wnioskowanych wpisać planowaną datę wypłaty zaliczki (da</w:t>
      </w:r>
      <w:r>
        <w:rPr>
          <w:sz w:val="20"/>
          <w:szCs w:val="20"/>
        </w:rPr>
        <w:t>ta w formacie mm/rrrr), zaś dla „pustych” transz, pozostawić pola niewypełnione.</w:t>
      </w:r>
    </w:p>
    <w:p w:rsidR="00D814B8" w:rsidRDefault="0053412E">
      <w:pPr>
        <w:spacing w:before="120" w:after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2101" cy="1302389"/>
            <wp:effectExtent l="0" t="0" r="6349" b="0"/>
            <wp:docPr id="46" name="Obraz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1302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2.1.2 Rozliczenie zaliczki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Pola od 2.1.2.1.1 do 2.1.2.1.4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 polach tych należy wybrać z dostępnych list właściwe odpowiedzi. Nie należy zostawiać niewypełnionych pól. </w:t>
      </w:r>
      <w:r>
        <w:rPr>
          <w:sz w:val="20"/>
          <w:szCs w:val="20"/>
        </w:rPr>
        <w:t>Tylko w jednym, spośród czterech dostępnych, pól można wybrać odpowiedź „TAK” (nie ma – gdyż nie umiałem jej napisać – formuły/reguły pilnującej unikatowości odpowiedzi). W przypadku wybrania wartości „TAK”:</w:t>
      </w:r>
    </w:p>
    <w:p w:rsidR="00D814B8" w:rsidRDefault="0053412E">
      <w:pPr>
        <w:pStyle w:val="Akapitzlist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w polu 2.1.2.1.4 w polach etapów operacji, odpow</w:t>
      </w:r>
      <w:r>
        <w:rPr>
          <w:sz w:val="20"/>
          <w:szCs w:val="20"/>
        </w:rPr>
        <w:t xml:space="preserve">iadających transzom zaliczek, pojawi się komunikat monitujący podanie kwot rozliczających zaliczających zaliczkę – w pola te należy wpisać „ręcznie” liczby większe lub równe „0” </w:t>
      </w:r>
      <w:r>
        <w:rPr>
          <w:i/>
          <w:sz w:val="20"/>
          <w:szCs w:val="20"/>
        </w:rPr>
        <w:t>(kwoty rozliczające poszczególne transze nie muszą być równe tym transzom, jed</w:t>
      </w:r>
      <w:r>
        <w:rPr>
          <w:i/>
          <w:sz w:val="20"/>
          <w:szCs w:val="20"/>
        </w:rPr>
        <w:t>nak ich suma /suma kwot rozliczających zaliczki/ musi być równa sumie zaliczek /wartości pola 2.1.1.6 Razem/)</w:t>
      </w:r>
    </w:p>
    <w:p w:rsidR="00D814B8" w:rsidRDefault="0053412E">
      <w:pPr>
        <w:spacing w:before="24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122340" cy="866723"/>
            <wp:effectExtent l="0" t="0" r="2110" b="0"/>
            <wp:docPr id="47" name="Obraz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340" cy="866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numPr>
          <w:ilvl w:val="0"/>
          <w:numId w:val="8"/>
        </w:numPr>
        <w:spacing w:before="120" w:after="0"/>
        <w:ind w:left="284" w:hanging="284"/>
        <w:jc w:val="both"/>
      </w:pPr>
      <w:r>
        <w:rPr>
          <w:sz w:val="20"/>
          <w:szCs w:val="20"/>
        </w:rPr>
        <w:t xml:space="preserve">w pustym polu – pod polem Etap IV, na prawo od pola Etap V– pojawi się komunikat </w:t>
      </w:r>
      <w:r>
        <w:rPr>
          <w:i/>
          <w:sz w:val="20"/>
          <w:szCs w:val="20"/>
        </w:rPr>
        <w:t xml:space="preserve">„Suma kwot rozliczenia zaliczki nie jest równa kwocie </w:t>
      </w:r>
      <w:r>
        <w:rPr>
          <w:i/>
          <w:sz w:val="20"/>
          <w:szCs w:val="20"/>
        </w:rPr>
        <w:t>zaliczki!”</w:t>
      </w:r>
      <w:r>
        <w:rPr>
          <w:sz w:val="20"/>
          <w:szCs w:val="20"/>
        </w:rPr>
        <w:t>; komunikat ten zniknie jeśli po wpisaniu do odpowiednich etapów suma kwot rozliczenia będzie równa sumie zaliczek (czyli wartości pola 2.1.1.6 Razem)</w:t>
      </w:r>
    </w:p>
    <w:p w:rsidR="00D814B8" w:rsidRDefault="0053412E">
      <w:pPr>
        <w:spacing w:before="12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2101" cy="3648712"/>
            <wp:effectExtent l="0" t="0" r="6349" b="8888"/>
            <wp:docPr id="48" name="Obraz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36487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spacing w:before="120"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Jak widać powyżej, kwoty rozliczające są różne od kwot zaliczek, jednak ich suma równa jest w</w:t>
      </w:r>
      <w:r>
        <w:rPr>
          <w:i/>
          <w:sz w:val="18"/>
          <w:szCs w:val="18"/>
        </w:rPr>
        <w:t>artości w polu 2.1.1.6, a komunikatu o niezgodności brak.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Etapy od I do V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pola odpowiednich (wnioskowanych) etapów należy wpisać kwotę rozliczającą transzę zaliczki dla tego etapu – liczba, większa lub równa „0” z dokładnością do dwóch miejsc po przecink</w:t>
      </w:r>
      <w:r>
        <w:rPr>
          <w:sz w:val="20"/>
          <w:szCs w:val="20"/>
        </w:rPr>
        <w:t>u. Pola „niewnioskowanych” etapów zostaną automatycznie wypełnione wartością „0,00”. Suma kwot rozliczających zaliczki w poszczególnych etapach musi być równa sumie zaliczek.</w:t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2.2 wyprzedzającego finansowania kosztów kwalifikowalnych operacji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Jeżeli w </w:t>
      </w:r>
      <w:r>
        <w:rPr>
          <w:sz w:val="20"/>
          <w:szCs w:val="20"/>
        </w:rPr>
        <w:t>polu 2.2 wybrano odpowiedź „TAK”, to w polu pomocniczym (poza obszarem wydruku) zostanie wyliczona maksymalna kwota wyprzedzającego finansowania, zaś w polu „w wysokości (zł)” pojawi się monit o podanie kwoty wyprzedzającego finansowania.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Jeżeli wybrano „N</w:t>
      </w:r>
      <w:r>
        <w:rPr>
          <w:sz w:val="20"/>
          <w:szCs w:val="20"/>
        </w:rPr>
        <w:t>IE”, to w polu „w wysokości (zł)” zostanie automatycznie wstawiona wartość „0,00”.</w:t>
      </w:r>
    </w:p>
    <w:p w:rsidR="00D814B8" w:rsidRDefault="0053412E">
      <w:pPr>
        <w:spacing w:before="240" w:after="0"/>
        <w:jc w:val="both"/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675120" cy="822960"/>
            <wp:effectExtent l="0" t="0" r="0" b="0"/>
            <wp:docPr id="49" name="Obraz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22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„w wysokości (zł)”</w:t>
      </w:r>
    </w:p>
    <w:p w:rsidR="00D814B8" w:rsidRDefault="0053412E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większą lub równą „0”, z dokładnością do dwóch miejsc po przecinku, ale nie większą od wyliczonej maksymalnej </w:t>
      </w:r>
      <w:r>
        <w:rPr>
          <w:sz w:val="20"/>
          <w:szCs w:val="20"/>
        </w:rPr>
        <w:t>kwoty wyprzedzającego finansowania.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61" w:name="_Toc13481695"/>
      <w:bookmarkStart w:id="962" w:name="_Toc13559381"/>
      <w:bookmarkStart w:id="963" w:name="_Toc13651268"/>
      <w:bookmarkStart w:id="964" w:name="_Toc14429236"/>
      <w:r>
        <w:t>V. ZESTAWIENIE RZECZOWO-FINANSOWE OPERACJI (arkusz V_ZRF)</w:t>
      </w:r>
      <w:bookmarkEnd w:id="961"/>
      <w:bookmarkEnd w:id="962"/>
      <w:bookmarkEnd w:id="963"/>
      <w:bookmarkEnd w:id="964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Poniżej opisane zostały niektóre właściwości pól – formuły i walidacje w nich umieszczone – na podstawie tabeli ZRF, wypełnionej przykładowymi danymi.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633843" cy="3088001"/>
            <wp:effectExtent l="0" t="0" r="0" b="0"/>
            <wp:docPr id="50" name="Obraz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3" cy="3088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</w:t>
      </w:r>
      <w:r>
        <w:rPr>
          <w:sz w:val="20"/>
          <w:szCs w:val="20"/>
        </w:rPr>
        <w:t>ne są wszystkie wiersze nagłówka tabeli ZRF – czyli wiersze od 1 do 5 oraz wiersze z nazwami rodzajów kosztów: I., II. i III. Zablokowane są także wszystkie komórki „wyszarzone”.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Ponadto zablokowane są pola z numerami grup kosztów: A., B., C. … J. (w kolum</w:t>
      </w:r>
      <w:r>
        <w:rPr>
          <w:sz w:val="20"/>
          <w:szCs w:val="20"/>
        </w:rPr>
        <w:t>nie A) – natomiast pola z nazwą grup kosztów (na rysunku powyżej „Jakaś grupa kosztów” w kolumnie B) są dostępne – można w nich wpisać dowolny ciąg znaków.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 xml:space="preserve">Jeżeli w sekcji I. Koszty kwalifikowalne określone w § 8 (…) potrzebne są dodatkowe grupy </w:t>
      </w:r>
      <w:r>
        <w:rPr>
          <w:sz w:val="20"/>
          <w:szCs w:val="20"/>
        </w:rPr>
        <w:t>kosztów: D, E, itd. to arkusz VI_ZRF zawiera zdefiniowane (ukryte pomiędzy podsumowaniem grupy C. a podsumowaniem całej sekcji I) wiersze dla grup kosztów od D. do J. Aby z nich skorzystać należy zaznaczyć wiersze Suma C. i Suma I, a następnie z menu podrę</w:t>
      </w:r>
      <w:r>
        <w:rPr>
          <w:sz w:val="20"/>
          <w:szCs w:val="20"/>
        </w:rPr>
        <w:t xml:space="preserve">cznego wybrać opcję „Odkryj”. Następnie należy wypełnić wiersze dla odpowiednich grup kosztów, a nadmiarowe grupy ponownie ukryć, postępując analogicznie jak w przykładzie podanym w </w:t>
      </w:r>
      <w:hyperlink r:id="rId313" w:history="1">
        <w:r>
          <w:rPr>
            <w:rStyle w:val="Hipercze"/>
            <w:sz w:val="20"/>
            <w:szCs w:val="20"/>
          </w:rPr>
          <w:t>części ogólnej „Wskazówek”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</w:t>
      </w:r>
      <w:r>
        <w:rPr>
          <w:sz w:val="20"/>
          <w:szCs w:val="20"/>
        </w:rPr>
        <w:t>omórki w wierszach „podsumowań” (Suma A., Suma B., Suma I, Suma II – kolumny od A do E).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komórki (w kolumnach od A do C), w wierszach podsumowujących koszty kwalifikowalne dla poszczególnych Partnerów – natomiast w kolumnie D (w wierszach po</w:t>
      </w:r>
      <w:r>
        <w:rPr>
          <w:sz w:val="20"/>
          <w:szCs w:val="20"/>
        </w:rPr>
        <w:t>dsumowujących koszty kwalifikowalne dla poszczególnych Partnerów) należy wpisać numer(y) partnera(ów), zgodne z numerami podanymi w kolumnie M (w kolumnie 23 tabeli ZRF). Dzięki temu formuły policzą (jak w zaprezentowanym powyżej przykładowym ZRF) sumy wsz</w:t>
      </w:r>
      <w:r>
        <w:rPr>
          <w:sz w:val="20"/>
          <w:szCs w:val="20"/>
        </w:rPr>
        <w:t>ystkich kosztów planowanych do poniesienia przez poszczególnych Partnerów.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Nie są natomiast zablokowane żadne komórki zawierające formuły (zaznaczone „różowym” wypełnieniem). Z różnych względów może zaistnieć potrzeba ich zmodyfikowania lub zastąpienia war</w:t>
      </w:r>
      <w:r>
        <w:rPr>
          <w:sz w:val="20"/>
          <w:szCs w:val="20"/>
        </w:rPr>
        <w:t xml:space="preserve">tości wyliczonej automatycznie, wartością wpisaną „z ręki”. Jednak w przypadku nieumyślnego usunięcia formuły należy pamiętać o możliwości użycia polecenia „Cofnij” lub kombinacji klawiszy [Ctrl]+[Z]. Więcej informacji o modyfikowaniu formuł można znaleźć </w:t>
      </w:r>
      <w:r>
        <w:rPr>
          <w:sz w:val="20"/>
          <w:szCs w:val="20"/>
        </w:rPr>
        <w:t>w części ogólnej „Wskazówek” w rozdziale „</w:t>
      </w:r>
      <w:hyperlink r:id="rId314" w:history="1">
        <w:r>
          <w:rPr>
            <w:rStyle w:val="Hipercze"/>
            <w:sz w:val="20"/>
            <w:szCs w:val="20"/>
          </w:rPr>
          <w:t>Dodawanie wierszy...</w:t>
        </w:r>
      </w:hyperlink>
      <w:r>
        <w:rPr>
          <w:sz w:val="20"/>
          <w:szCs w:val="20"/>
        </w:rPr>
        <w:t xml:space="preserve">” lub wspomnianym we wstępie kursie </w:t>
      </w:r>
      <w:hyperlink r:id="rId315" w:history="1">
        <w:r>
          <w:rPr>
            <w:rStyle w:val="Hipercze"/>
            <w:sz w:val="20"/>
            <w:szCs w:val="20"/>
          </w:rPr>
          <w:t>MS Excel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poszczególnych pozycjach ZRF (czyli w wierszach np. A.1, A.2,</w:t>
      </w:r>
      <w:r>
        <w:rPr>
          <w:sz w:val="20"/>
          <w:szCs w:val="20"/>
        </w:rPr>
        <w:t xml:space="preserve"> B.1, II.1, II.2)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(tabeli ZRF) uzupełnić numer/kod pozycji (dowolny ciąg znaków – jednak z zachowaniem ciągłości i unikalności numeracji w ramach poszczególnych grup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 wpisać nazwę zadania, któreg</w:t>
      </w:r>
      <w:r>
        <w:rPr>
          <w:rFonts w:eastAsia="Times New Roman"/>
          <w:sz w:val="20"/>
          <w:szCs w:val="20"/>
        </w:rPr>
        <w:t>o dotyczy dana pozycja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3 wpisać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ilość/liczbę „jednostek” (tylko liczby, z dokładnośc</w:t>
      </w:r>
      <w:r>
        <w:rPr>
          <w:rFonts w:eastAsia="Times New Roman"/>
          <w:sz w:val="20"/>
          <w:szCs w:val="20"/>
        </w:rPr>
        <w:t>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5, 6 i 7 zostaną automatycznie policzone sumy (odpowiednio dla rodzaju kosztu) ze wszystkich etapów operacji; w uzasadnionych przypadkach (być może takie będą) można zastąpić wyliczone wartości „ręcznie” wpisanym</w:t>
      </w:r>
      <w:r>
        <w:rPr>
          <w:rFonts w:eastAsia="Times New Roman"/>
          <w:sz w:val="20"/>
          <w:szCs w:val="20"/>
        </w:rPr>
        <w:t>i kwotami (tylko liczby, z dokładnością do dwóch miejsc po przecinku); w takim przypadku reguła formatowania warunkowego zamieni kolor czcionki na czerwony, jeżeli wpisana kwota będzie różna od sumy kwot z poszczególnych etapów; w przypadku „ręcznego” wpro</w:t>
      </w:r>
      <w:r>
        <w:rPr>
          <w:rFonts w:eastAsia="Times New Roman"/>
          <w:sz w:val="20"/>
          <w:szCs w:val="20"/>
        </w:rPr>
        <w:t>wadzania kwot obowiązują takie same formaty i reguły danych, jakie zdefiniowano dla pól opisujących poszczególne etapy: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</w:pPr>
      <w:r>
        <w:rPr>
          <w:rFonts w:eastAsia="Times New Roman"/>
          <w:sz w:val="20"/>
          <w:szCs w:val="20"/>
        </w:rPr>
        <w:t xml:space="preserve">w kolumnach 5, 8, 11, 14, 17 i 20 (koszty kwalifikowalne ogółem – razem i dla poszczególnych etapów) – liczba, większa lub równa „0”, z </w:t>
      </w:r>
      <w:r>
        <w:rPr>
          <w:rFonts w:eastAsia="Times New Roman"/>
          <w:sz w:val="20"/>
          <w:szCs w:val="20"/>
        </w:rPr>
        <w:t>dokładnością do dwóch miejsc po przecinku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</w:pPr>
      <w:r>
        <w:rPr>
          <w:rFonts w:eastAsia="Times New Roman"/>
          <w:sz w:val="20"/>
          <w:szCs w:val="20"/>
        </w:rPr>
        <w:t>w kolumnach 7, 9, 12, 15, 18 i 21 (w tym VAT – razem i dla poszczególnych etapów) – liczba, większa lub równa „0”, mniejsza lub równa 23% kwoty kosztów kwalifikowalnych, z dokładnością do dwóch miejsc po przecinku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</w:pPr>
      <w:r>
        <w:rPr>
          <w:rFonts w:eastAsia="Times New Roman"/>
          <w:sz w:val="20"/>
          <w:szCs w:val="20"/>
        </w:rPr>
        <w:t>w kolumnach 8, 10, 13, 16, 19 i 22 (w części dotyczącej inwestycji – razem i dla poszczególnych etapów) – liczba, większa lub równa „0”, mniejsza lub równa kwocie kosztów kwalifikowalnych, z dokładnością do dwóch miejsc po przecinku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– zgodnie</w:t>
      </w:r>
      <w:r>
        <w:rPr>
          <w:rFonts w:eastAsia="Times New Roman"/>
          <w:sz w:val="20"/>
          <w:szCs w:val="20"/>
        </w:rPr>
        <w:t xml:space="preserve"> z „Instrukcją wypełniania…” – „…wpisać nr Partnera (zgodny z sekcją IV.A. pkt 1), który poniósł koszt w ramach danego zadania” (tylko liczby całkowite)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poszczególnych grupach kosztów lub podsumowaniach dla poszczególnych Pa</w:t>
      </w:r>
      <w:r>
        <w:rPr>
          <w:sz w:val="20"/>
          <w:szCs w:val="20"/>
        </w:rPr>
        <w:t xml:space="preserve">rtnerów należy dodawać zgodnie z „mini-instrukcjami”, opisanymi w ogólnych wskazówkach </w:t>
      </w:r>
      <w:hyperlink r:id="rId316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Jeżeli w sekcji I. Koszty kwalifikowalne określone w § 8 (…) potrzebne są dodatkowe grupy kosztów: D, E, itd. to ar</w:t>
      </w:r>
      <w:r>
        <w:rPr>
          <w:sz w:val="20"/>
          <w:szCs w:val="20"/>
        </w:rPr>
        <w:t>kusz VI_ZRF zawiera zdefiniowane (ukryte pomiędzy podsumowaniem grupy C. a podsumowaniem całej sekcji I) wiersze dla grup kosztów od D. do J. Aby z nich skorzystać należy zaznaczyć wiersze Suma C. i Suma I, a następnie z menu podręcznego wybrać opcję „Odkr</w:t>
      </w:r>
      <w:r>
        <w:rPr>
          <w:sz w:val="20"/>
          <w:szCs w:val="20"/>
        </w:rPr>
        <w:t xml:space="preserve">yj”. Następnie należy wypełnić wiersze dla odpowiednich grup kosztów, a nadmiarowe grupy ponownie ukryć, postępując analogicznie jak w przykładzie podanym w </w:t>
      </w:r>
      <w:hyperlink r:id="rId317" w:history="1">
        <w:r>
          <w:rPr>
            <w:rStyle w:val="Hipercze"/>
            <w:sz w:val="20"/>
            <w:szCs w:val="20"/>
          </w:rPr>
          <w:t>części ogólnej „Wskazówek”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Należy pamiętać, że w przypadku uk</w:t>
      </w:r>
      <w:r>
        <w:rPr>
          <w:sz w:val="20"/>
          <w:szCs w:val="20"/>
        </w:rPr>
        <w:t>rywania wierszy lub kolumn trzeba sprawdzić (przed ukryciem) czy w „edytowalnych” komórkach ukrywanych wierszy lub kolumn nie znajdują się wartości większe od „0” i ewentualnie (jeśli takie się znajdą) usunąć je lub zamienić na „0”. W przeciwnym razie będą</w:t>
      </w:r>
      <w:r>
        <w:rPr>
          <w:sz w:val="20"/>
          <w:szCs w:val="20"/>
        </w:rPr>
        <w:t xml:space="preserve"> one doliczane do odpowiednich podsumowań (a nie po to je ukrywamy, żeby były doliczane).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65" w:name="_Toc13481696"/>
      <w:bookmarkStart w:id="966" w:name="_Toc13559382"/>
      <w:bookmarkStart w:id="967" w:name="_Toc13651269"/>
      <w:bookmarkStart w:id="968" w:name="_Toc14429237"/>
      <w:r>
        <w:t>VI. OPIS ZADAŃ WYMIENIONYCH W ZESTAWIENIU (…) (arkusz VI_Opis_rzeczowy)</w:t>
      </w:r>
      <w:bookmarkEnd w:id="965"/>
      <w:bookmarkEnd w:id="966"/>
      <w:bookmarkEnd w:id="967"/>
      <w:bookmarkEnd w:id="968"/>
    </w:p>
    <w:p w:rsidR="00D814B8" w:rsidRDefault="0053412E">
      <w:pPr>
        <w:widowControl w:val="0"/>
        <w:spacing w:before="240" w:after="120"/>
        <w:rPr>
          <w:sz w:val="20"/>
          <w:szCs w:val="20"/>
        </w:rPr>
      </w:pPr>
      <w:r>
        <w:rPr>
          <w:sz w:val="20"/>
          <w:szCs w:val="20"/>
        </w:rPr>
        <w:t>Tabelę „Opis zadań…” można uzupełnić niezależnie lub w powiązaniu z „Zestawieniem rzeczowo-fin</w:t>
      </w:r>
      <w:r>
        <w:rPr>
          <w:sz w:val="20"/>
          <w:szCs w:val="20"/>
        </w:rPr>
        <w:t>ansowym operacji”. Poniżej zaprezentowano „Opis”, wypełniony z wykorzystaniem części danych zawartych w ZRF.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642101" cy="2820667"/>
            <wp:effectExtent l="0" t="0" r="6349" b="0"/>
            <wp:docPr id="51" name="Obraz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2820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– czyli wiersze od 1 do 3.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poszczególnych pozycjach (czyli jak w wierszach od 1 do 8 w podanym</w:t>
      </w:r>
      <w:r>
        <w:rPr>
          <w:sz w:val="20"/>
          <w:szCs w:val="20"/>
        </w:rPr>
        <w:t xml:space="preserve"> przykładzie)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1 wpisać oznaczenie (kod) zadania ZRF (dowolny ciąg znaków); jeżeli oznaczenie będzie zgodne z numerem w ZRF zostaną automatycznie wypełnione komórki w kolumnach 2, 3, 4 i 8 (na podstawie wartości „zgodnego” wiersza z ZRF, </w:t>
      </w:r>
      <w:r>
        <w:rPr>
          <w:rFonts w:eastAsia="Times New Roman"/>
          <w:sz w:val="20"/>
          <w:szCs w:val="20"/>
        </w:rPr>
        <w:t>odpowiednio z kolumn 2, 3, 4 i 23)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2, jeżeli zaciągnięta z ZRF wartość jest nieprawidłowa, lub wymaga uzupełnienia wprowadzić odpowiednie dane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3, jeżeli zaciągnięta z ZRF wartość jest nieprawidłowa, lub wymaga </w:t>
      </w:r>
      <w:r>
        <w:rPr>
          <w:rFonts w:eastAsia="Times New Roman"/>
          <w:sz w:val="20"/>
          <w:szCs w:val="20"/>
        </w:rPr>
        <w:t>uzupełnienia wprowadzić odpowiednie dane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4, jeżeli zaciągnięta z ZRF wartość jest nieprawidłowa, lub wymaga uzupełnienia wprowadzić odpowiednie dane (liczba, większa lub równa „0”, z dokładnością do dwóch miejsc po przecink</w:t>
      </w:r>
      <w:r>
        <w:rPr>
          <w:rFonts w:eastAsia="Times New Roman"/>
          <w:sz w:val="20"/>
          <w:szCs w:val="20"/>
        </w:rPr>
        <w:t>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5 wprowadzić wartość ceny jednostkowej (liczba, większa lub równa „0”,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wartość w kolumnie 6 obliczana jest automatycznie, jako iloczyn wartości z kolumn 4 i 5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uzasadnienie plano</w:t>
      </w:r>
      <w:r>
        <w:rPr>
          <w:rFonts w:eastAsia="Times New Roman"/>
          <w:sz w:val="20"/>
          <w:szCs w:val="20"/>
        </w:rPr>
        <w:t>wanego poniesienia danego kosztu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8, jeżeli zaciągnięta z ZRF wartość jest nieprawidłowa, lub wymaga uzupełnienia wpisać numer partnera (nr LGD)</w:t>
      </w:r>
    </w:p>
    <w:p w:rsidR="00D814B8" w:rsidRDefault="0053412E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Jeżeli oznaczenie zadania (w kolumnie 1) będzie zgodny z numerem w ZRF (w kolum</w:t>
      </w:r>
      <w:r>
        <w:rPr>
          <w:rFonts w:eastAsia="Times New Roman"/>
          <w:sz w:val="20"/>
          <w:szCs w:val="20"/>
        </w:rPr>
        <w:t xml:space="preserve">nie 1) zostaną automatycznie wypełnione komórki w kolumnach 2, 3, 4 i 8 Opisu (na podstawie wartości „zgodnych” wierszy) odpowiednio do wartości z kolumn 2, 3, 4 i 23 ZRF. W przeciwnym wypadku w polach „zaciąganych” z ZRF będą wyświetlane wartości „#N/D!” </w:t>
      </w:r>
      <w:r>
        <w:rPr>
          <w:rFonts w:eastAsia="Times New Roman"/>
          <w:sz w:val="20"/>
          <w:szCs w:val="20"/>
        </w:rPr>
        <w:t>– oznacza to, że formuła nie odnalazła pasujących danych (jak na przykładzie poniżej).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767120" cy="2459873"/>
            <wp:effectExtent l="0" t="0" r="5030" b="0"/>
            <wp:docPr id="52" name="Obraz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120" cy="24598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120" w:after="0"/>
        <w:jc w:val="both"/>
        <w:rPr>
          <w:rFonts w:eastAsia="Times New Roman"/>
          <w:i/>
          <w:sz w:val="18"/>
          <w:szCs w:val="18"/>
        </w:rPr>
      </w:pPr>
      <w:r>
        <w:rPr>
          <w:rFonts w:eastAsia="Times New Roman"/>
          <w:i/>
          <w:sz w:val="18"/>
          <w:szCs w:val="18"/>
        </w:rPr>
        <w:t xml:space="preserve">Czerwonym kolorem oznaczono przypadki braku zgodności pomiędzy wartościami z pól w kolumnie 1 Opisu i kolumnie 1 ZRF. Nieprawidłowy wynik (brak wyniku) w podsumowaniu </w:t>
      </w:r>
      <w:r>
        <w:rPr>
          <w:rFonts w:eastAsia="Times New Roman"/>
          <w:i/>
          <w:sz w:val="18"/>
          <w:szCs w:val="18"/>
        </w:rPr>
        <w:t>(oznaczony kolorem żółtym) jest konsekwencją braku danych (#N/D!) w wierszach powyżej podsumowania.</w:t>
      </w:r>
    </w:p>
    <w:p w:rsidR="00D814B8" w:rsidRDefault="0053412E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wiersza 7 (oznaczenie zadania „od B.2 do B.5” w tabeli „Opis…”)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wpisać „z ręki”: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nazwę zadania w kolumnie 2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jednostkę miary w kolumnie 3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nr partnera w kolumnie 8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policzyć sumę odpowiednich wartości z wierszy/pozycji od B.1 do B.5 w kolumnie 4 ZRF i wpisać ją do komórki w kolumnie 4 Opisu – można to zrobić „ręcznie” lub modyfikując odpowiednio formułę (np. zamieniając istniejącą </w:t>
      </w:r>
      <w:r>
        <w:rPr>
          <w:rFonts w:eastAsia="Times New Roman"/>
          <w:sz w:val="20"/>
          <w:szCs w:val="20"/>
        </w:rPr>
        <w:t>„=WYSZUKAJ.PIONOWO(…)” na „=SUMA(…)”).</w:t>
      </w:r>
    </w:p>
    <w:p w:rsidR="00D814B8" w:rsidRDefault="0053412E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pozostałych wierszach (od 9 do 12) należy usunąć formuły we wskazanych komórkach w kolumnach 2, 3, 4, 6 i 8 (zaznaczając cały „niechciany” zakres komórek i wciskając klawisz [Del] albo [Delete], w zależności od posi</w:t>
      </w:r>
      <w:r>
        <w:rPr>
          <w:rFonts w:eastAsia="Times New Roman"/>
          <w:sz w:val="20"/>
          <w:szCs w:val="20"/>
        </w:rPr>
        <w:t>adanej klawiatury). Efektem powinno być uzyskanie kompletnego (wolnego od #N/D!) „Opisu…” z poprawnym wierszem podsumowania.</w:t>
      </w:r>
    </w:p>
    <w:p w:rsidR="00D814B8" w:rsidRDefault="0053412E">
      <w:pPr>
        <w:widowControl w:val="0"/>
        <w:spacing w:before="120"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694517" cy="2840181"/>
            <wp:effectExtent l="0" t="0" r="1433" b="0"/>
            <wp:docPr id="53" name="Obraz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517" cy="28401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„Opisie…” należy dodawać zgodnie z „mini-instrukcjami” opisanymi w ogólnych wskazówkach </w:t>
      </w:r>
      <w:hyperlink r:id="rId32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69" w:name="_Toc13481699"/>
      <w:bookmarkStart w:id="970" w:name="_Toc13559385"/>
      <w:bookmarkStart w:id="971" w:name="_Toc13651272"/>
      <w:bookmarkStart w:id="972" w:name="_Toc14429238"/>
      <w:r>
        <w:t>VII. INFORMACJA O ZAŁĄCZNIKACH (arkusz VII_Info_Zalacz)</w:t>
      </w:r>
      <w:bookmarkEnd w:id="969"/>
      <w:bookmarkEnd w:id="970"/>
      <w:bookmarkEnd w:id="971"/>
      <w:bookmarkEnd w:id="972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wierszu „Wniosek w postaci dokumentu elektronicznego, zapisanego na informatycznym nośniku danych” należy wybrać z listy odpowiedź „TAK” albo „NIE”.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tabeli za</w:t>
      </w:r>
      <w:r>
        <w:rPr>
          <w:sz w:val="20"/>
          <w:szCs w:val="20"/>
        </w:rPr>
        <w:t>łączników szystkie komórki w kolumnach „Lp.” i „Nazwa załącznika” – od wiersza 3 (z tytułem części A tabeli) do wiersza 19 (Lp. 14 w części B) oraz w wierszach od 22 (z tytułem części C tabeli) do 28 (Lp. 19) – są zablokowane.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</w:t>
      </w:r>
      <w:r>
        <w:rPr>
          <w:sz w:val="20"/>
          <w:szCs w:val="20"/>
        </w:rPr>
        <w:t>brać z listy odpowiednią wartość – inną niż „(wybierz z listy)”: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„TAK” w kolumnie „Liczba” (w tym samym wierszu) pojawi si</w:t>
      </w:r>
      <w:r>
        <w:rPr>
          <w:rFonts w:eastAsia="Times New Roman"/>
          <w:sz w:val="20"/>
          <w:szCs w:val="20"/>
        </w:rPr>
        <w:t>ę tekst „Wpisz liczbę załączników”, przypominający o konieczności podania liczby załączanych dokumentów danego rodzaju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W wierszach 14.a, 14.b (a także kolejnych, dodanych w tej części) oraz w wierszu 20. (i kolejnych, dodanych) wprowadzenie wartości (dowol</w:t>
      </w:r>
      <w:r>
        <w:rPr>
          <w:sz w:val="20"/>
          <w:szCs w:val="20"/>
        </w:rPr>
        <w:t xml:space="preserve">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 kolumnie „Liczba”.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Uwaga! </w:t>
      </w:r>
      <w:r>
        <w:rPr>
          <w:rFonts w:eastAsia="Times New Roman"/>
          <w:sz w:val="20"/>
          <w:szCs w:val="20"/>
        </w:rPr>
        <w:t>Formuły, które uzupełniają wartości w kolumnie „Liczba” na podstawie wartości wybranej w kolumnie „T</w:t>
      </w:r>
      <w:r>
        <w:rPr>
          <w:rFonts w:eastAsia="Times New Roman"/>
          <w:sz w:val="20"/>
          <w:szCs w:val="20"/>
        </w:rPr>
        <w:t>AK/ND” są jednorazowe – tzn. nie są zabezpieczone. Jeżeli w kolumnie „TAK/ND” wybrana zostanie wartość „TAK’ i w kolumnie „Liczba” komunikat „Wpisz liczbę załączników” zastąpiony zostanie liczbą, to dokonanie wyboru innej wartości – w tym samym wierszu – w</w:t>
      </w:r>
      <w:r>
        <w:rPr>
          <w:rFonts w:eastAsia="Times New Roman"/>
          <w:sz w:val="20"/>
          <w:szCs w:val="20"/>
        </w:rPr>
        <w:t xml:space="preserve"> kolumnie „TAK/ND” (np. wprowadzono wartość w niewłaściwym wierszu) nie spowoduje już żadnych zmian w kolumnie „Liczba” – w tym samym wierszu – ewentualną korektę trzeba wykonać „ręcznie”.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pokazano (na przykładzie pochodzącym z WoP 19.3) wyniki dzi</w:t>
      </w:r>
      <w:r>
        <w:rPr>
          <w:rFonts w:eastAsia="Times New Roman"/>
          <w:sz w:val="20"/>
          <w:szCs w:val="20"/>
        </w:rPr>
        <w:t>ałania formuł powiązanych z wartościami wprowadzanymi w komórkach w kolumnie „TAK/ND” oraz w „edytowalnych” wierszach w kolumnie „Nazwa załącznika”:</w:t>
      </w:r>
    </w:p>
    <w:p w:rsidR="00D814B8" w:rsidRDefault="0053412E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„Liczba”</w:t>
      </w:r>
    </w:p>
    <w:p w:rsidR="00D814B8" w:rsidRDefault="0053412E">
      <w:pPr>
        <w:widowControl w:val="0"/>
        <w:spacing w:after="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17633" cy="4346865"/>
            <wp:effectExtent l="0" t="0" r="0" b="0"/>
            <wp:docPr id="54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717633" cy="4346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D814B8"/>
    <w:p w:rsidR="00D814B8" w:rsidRDefault="00D814B8">
      <w:pPr>
        <w:pageBreakBefore/>
        <w:suppressAutoHyphens w:val="0"/>
        <w:rPr>
          <w:sz w:val="20"/>
          <w:szCs w:val="20"/>
        </w:rPr>
      </w:pP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oraz po uzupełnieniu </w:t>
      </w:r>
      <w:r>
        <w:rPr>
          <w:sz w:val="20"/>
          <w:szCs w:val="20"/>
        </w:rPr>
        <w:t>wartości w kolumnie „Liczba”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750250" cy="2875120"/>
            <wp:effectExtent l="0" t="0" r="2850" b="1430"/>
            <wp:docPr id="55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750250" cy="287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Brakujące wiersze należy dodawać zgodnie z „mini-instrukcjami”, opisanymi w ogólnych wskazówkach </w:t>
      </w:r>
      <w:hyperlink r:id="rId324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73" w:name="_Toc14429239"/>
      <w:r>
        <w:t>VIII. OŚWIADCZENIA PODMIOTU UBIEGAJĄCEGO SIĘ (…) (arkusz VIII_Osw_podmiotu)</w:t>
      </w:r>
      <w:bookmarkEnd w:id="973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</w:t>
      </w:r>
      <w:r>
        <w:rPr>
          <w:sz w:val="20"/>
          <w:szCs w:val="20"/>
        </w:rPr>
        <w:t xml:space="preserve"> arkuszu dostępne są tylko pola: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2.a), w którym należy wybrać odpowiedź z listy – w przypadku wyboru odpowiedzi „TAK” pole 2.b) jest wypełniane automatycznie wartością „NIE”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2.b), w którym trzeba wybrać odpowiedź z listy, jedynie w przypadku gdy w polu 2.a</w:t>
      </w:r>
      <w:r>
        <w:rPr>
          <w:sz w:val="20"/>
          <w:szCs w:val="20"/>
        </w:rPr>
        <w:t>) wybrano wartość „NIE”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„miejscowość i data”, w którym należy (można) wpisać miejscowość (miejsce) oraz datę podpisania oświadczenia (dowolny ciąg znaków).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74" w:name="_Toc13481701"/>
      <w:bookmarkStart w:id="975" w:name="_Toc13559387"/>
      <w:bookmarkStart w:id="976" w:name="_Toc13651274"/>
      <w:bookmarkStart w:id="977" w:name="_Toc14429240"/>
      <w:r>
        <w:t>Załącznik nr 5. Oświadczenie partnera projektu współpracy (arkusz Zal_5_Osw_partn_proj)</w:t>
      </w:r>
      <w:bookmarkEnd w:id="974"/>
      <w:bookmarkEnd w:id="975"/>
      <w:bookmarkEnd w:id="976"/>
      <w:bookmarkEnd w:id="977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</w:t>
      </w:r>
      <w:r>
        <w:rPr>
          <w:sz w:val="20"/>
          <w:szCs w:val="20"/>
        </w:rPr>
        <w:t xml:space="preserve"> tej części arkusza (do wielokrotnego powielenia) dostępna jest w pliku WoPP_19_3_2z_ark_wpolwn.xlsx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Oświadczenie wypełnia </w:t>
      </w:r>
      <w:r>
        <w:rPr>
          <w:b/>
          <w:sz w:val="20"/>
          <w:szCs w:val="20"/>
        </w:rPr>
        <w:t xml:space="preserve">każdy </w:t>
      </w:r>
      <w:r>
        <w:rPr>
          <w:sz w:val="20"/>
          <w:szCs w:val="20"/>
        </w:rPr>
        <w:t>z partnerów projektu ubiegający się o przyznanie pomocy.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„czytelny/-e podpis/-y osób/-y upoważnionej/-ych do…” jest zablok</w:t>
      </w:r>
      <w:r>
        <w:rPr>
          <w:sz w:val="20"/>
          <w:szCs w:val="20"/>
        </w:rPr>
        <w:t>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 wypełnić pola: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i/>
          <w:sz w:val="20"/>
          <w:szCs w:val="20"/>
        </w:rPr>
        <w:t>Imię, Nazwisko, Nazwa partnera projektu współpracy</w:t>
      </w:r>
      <w:r>
        <w:rPr>
          <w:sz w:val="20"/>
          <w:szCs w:val="20"/>
        </w:rPr>
        <w:t xml:space="preserve"> 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i/>
          <w:sz w:val="20"/>
          <w:szCs w:val="20"/>
        </w:rPr>
        <w:t xml:space="preserve">który: a), b), c) </w:t>
      </w:r>
      <w:r>
        <w:rPr>
          <w:sz w:val="20"/>
          <w:szCs w:val="20"/>
        </w:rPr>
        <w:t>– odpowiednia wartość z listy wyboru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i/>
          <w:sz w:val="20"/>
          <w:szCs w:val="20"/>
        </w:rPr>
        <w:t xml:space="preserve">miejscowość i data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78" w:name="_Toc13481705"/>
      <w:bookmarkStart w:id="979" w:name="_Toc13559391"/>
      <w:bookmarkStart w:id="980" w:name="_Toc13651278"/>
      <w:bookmarkStart w:id="981" w:name="_Toc14429241"/>
      <w:r>
        <w:t>Załącznik nr 5.a Informacje dotycz</w:t>
      </w:r>
      <w:r>
        <w:t>ące przetwarzania (…) (Zal_5a_Inf_RODO)</w:t>
      </w:r>
      <w:bookmarkEnd w:id="978"/>
      <w:bookmarkEnd w:id="979"/>
      <w:bookmarkEnd w:id="980"/>
      <w:bookmarkEnd w:id="981"/>
    </w:p>
    <w:p w:rsidR="00D814B8" w:rsidRDefault="0053412E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Arkusz ten ma charakter informacyjny i powinien zawierać dane predefiniowane przez odpowiedni SW. Innymi słowy w polach „wykropkowanych” powinny znaleźć się informacje wprowadzone przez SW, dotyczące administratora </w:t>
      </w:r>
      <w:r>
        <w:rPr>
          <w:sz w:val="20"/>
          <w:szCs w:val="20"/>
        </w:rPr>
        <w:t>danych, siedziby administratora danych, adresów (e-mail i korespondencyjnego) administratora oraz adresu e-mail inspektora ochrony danych osobowych.</w:t>
      </w:r>
    </w:p>
    <w:p w:rsidR="00D814B8" w:rsidRDefault="0053412E">
      <w:pPr>
        <w:spacing w:before="24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 xml:space="preserve">. Samorząd Województwa – </w:t>
      </w:r>
      <w:r>
        <w:rPr>
          <w:sz w:val="20"/>
          <w:szCs w:val="20"/>
        </w:rPr>
        <w:t>przed opublikowaniem formularzy wniosku o przyznanie pomocy na swojej stronie internetowej – może uzupełnić część danych i zablokować te pola w celu zmniejszenia ryzyka popełnienia błędu podczas ich wielokrotnego, „ręcznego” wypełniania przy każdym składan</w:t>
      </w:r>
      <w:r>
        <w:rPr>
          <w:sz w:val="20"/>
          <w:szCs w:val="20"/>
        </w:rPr>
        <w:t>ym WoPP.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82" w:name="_Toc14429242"/>
      <w:r>
        <w:t>Załącznik nr 8. Oświadczenie właściciela(i) lub wpółwłaściciela (…) (arkusz Zal_8_Osw_wlasc_nier)</w:t>
      </w:r>
      <w:bookmarkEnd w:id="982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Oświadczenie wypełnia się dla </w:t>
      </w:r>
      <w:r>
        <w:rPr>
          <w:b/>
          <w:sz w:val="20"/>
          <w:szCs w:val="20"/>
        </w:rPr>
        <w:t>każdej</w:t>
      </w:r>
      <w:r>
        <w:rPr>
          <w:b/>
          <w:sz w:val="20"/>
          <w:szCs w:val="20"/>
        </w:rPr>
        <w:t xml:space="preserve"> (i tylko dla tych) </w:t>
      </w:r>
      <w:r>
        <w:rPr>
          <w:sz w:val="20"/>
          <w:szCs w:val="20"/>
        </w:rPr>
        <w:t xml:space="preserve">nieruchomości, które zostaną trwale związane z realizowaną operacją, </w:t>
      </w:r>
      <w:r>
        <w:rPr>
          <w:sz w:val="20"/>
          <w:szCs w:val="20"/>
        </w:rPr>
        <w:lastRenderedPageBreak/>
        <w:t>i które nie stanowią (nie będą stanowiły) własności wnioskującej (wnioskujących) LGD.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„czytelny podpis właściciela / współwłaściciela nieruchomości…” jest zabloko</w:t>
      </w:r>
      <w:r>
        <w:rPr>
          <w:sz w:val="20"/>
          <w:szCs w:val="20"/>
        </w:rPr>
        <w:t>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Należy: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pole</w:t>
      </w:r>
      <w:r>
        <w:rPr>
          <w:i/>
          <w:sz w:val="20"/>
          <w:szCs w:val="20"/>
        </w:rPr>
        <w:t xml:space="preserve"> adres nieruchomości</w:t>
      </w:r>
      <w:r>
        <w:rPr>
          <w:sz w:val="20"/>
          <w:szCs w:val="20"/>
        </w:rPr>
        <w:t xml:space="preserve"> 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pozostawić niezmienioną, automatycznie zaciągniętą wartość w polu </w:t>
      </w:r>
      <w:r>
        <w:rPr>
          <w:i/>
          <w:sz w:val="20"/>
          <w:szCs w:val="20"/>
        </w:rPr>
        <w:t>tytuł projektu wpółpracy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pozostawić niezmienioną, automatycznie zaciągniętą wartość w polu </w:t>
      </w:r>
      <w:r>
        <w:rPr>
          <w:i/>
          <w:sz w:val="20"/>
          <w:szCs w:val="20"/>
        </w:rPr>
        <w:t>zakres operacji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pole</w:t>
      </w:r>
      <w:r>
        <w:rPr>
          <w:i/>
          <w:sz w:val="20"/>
          <w:szCs w:val="20"/>
        </w:rPr>
        <w:t xml:space="preserve"> miejscowość i data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83" w:name="_Toc14429243"/>
      <w:r>
        <w:t>Załącznik nr 8.a Informacje dotyczące przetwar</w:t>
      </w:r>
      <w:r>
        <w:t>zania (…) (Zal_8a_Inf_RODO_2)</w:t>
      </w:r>
      <w:bookmarkEnd w:id="983"/>
    </w:p>
    <w:p w:rsidR="00D814B8" w:rsidRDefault="0053412E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Arkusz ten ma charakter informacyjny i powinien zawierać dane predefiniowane przez odpowiedni SW. Innymi słowy w polach „wykropkowanych” powinny znaleźć się informacje wprowadzone przez SW, dotyczące administratora danych, sie</w:t>
      </w:r>
      <w:r>
        <w:rPr>
          <w:sz w:val="20"/>
          <w:szCs w:val="20"/>
        </w:rPr>
        <w:t>dziby administratora danych, adresów (e-mail i korespondencyjnego) administratora oraz adresu e-mail inspektora ochrony danych osobowych.</w:t>
      </w:r>
    </w:p>
    <w:p w:rsidR="00D814B8" w:rsidRDefault="0053412E">
      <w:pPr>
        <w:spacing w:before="24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Samorząd Województwa – przed opubl</w:t>
      </w:r>
      <w:r>
        <w:rPr>
          <w:sz w:val="20"/>
          <w:szCs w:val="20"/>
        </w:rPr>
        <w:t>ikowaniem formularzy wniosku o przyznanie pomocy na swojej stronie internetowej – może uzupełnić część danych i zablokować te pola w celu zmniejszenia ryzyka popełnienia błędu podczas ich wielokrotnego, „ręcznego” wypełniania przy każdym składanym WoPP.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84" w:name="_Toc14429244"/>
      <w:r>
        <w:t>Za</w:t>
      </w:r>
      <w:r>
        <w:t>łącznik nr 9. Oświadczenie LGD o kwalifikowalności VAT (arkusz Zal_9_Osw_VAT)</w:t>
      </w:r>
      <w:bookmarkEnd w:id="984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Oświadczenie wypełnia się dla </w:t>
      </w:r>
      <w:r>
        <w:rPr>
          <w:b/>
          <w:sz w:val="20"/>
          <w:szCs w:val="20"/>
        </w:rPr>
        <w:t>każdej LGD</w:t>
      </w:r>
      <w:r>
        <w:rPr>
          <w:sz w:val="20"/>
          <w:szCs w:val="20"/>
        </w:rPr>
        <w:t>, która spełnia warunki o</w:t>
      </w:r>
      <w:r>
        <w:rPr>
          <w:sz w:val="20"/>
          <w:szCs w:val="20"/>
        </w:rPr>
        <w:t>kreślone w „Instrukcji wypełniania wniosku…”.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„czytelne podpisy osoby / osób reprezentujących LGD / pełnomocnika” są 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Należy: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wypełnić pola</w:t>
      </w:r>
      <w:r>
        <w:rPr>
          <w:i/>
          <w:sz w:val="20"/>
          <w:szCs w:val="20"/>
        </w:rPr>
        <w:t xml:space="preserve"> Nazwa, adres LGD - podmiotu ubiegającego się (…),imię i nazwisko osoby / </w:t>
      </w:r>
      <w:r>
        <w:rPr>
          <w:i/>
          <w:sz w:val="20"/>
          <w:szCs w:val="20"/>
        </w:rPr>
        <w:t xml:space="preserve">osób reprezentujących LGD /pełnomocnika </w:t>
      </w:r>
      <w:r>
        <w:rPr>
          <w:sz w:val="20"/>
          <w:szCs w:val="20"/>
        </w:rPr>
        <w:t>oraz</w:t>
      </w:r>
      <w:r>
        <w:rPr>
          <w:i/>
          <w:sz w:val="20"/>
          <w:szCs w:val="20"/>
        </w:rPr>
        <w:t xml:space="preserve"> Nazwa LGD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pozostawić niezmienioną, automatycznie zaciągniętą wartość w polu </w:t>
      </w:r>
      <w:r>
        <w:rPr>
          <w:i/>
          <w:sz w:val="20"/>
          <w:szCs w:val="20"/>
        </w:rPr>
        <w:t>tytuł projektu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w przypadku gdy podmiot wn</w:t>
      </w:r>
      <w:r>
        <w:rPr>
          <w:sz w:val="20"/>
          <w:szCs w:val="20"/>
        </w:rPr>
        <w:t xml:space="preserve">ioskujący nie może odzyskać uiszczonego podatku VAT należy w polu </w:t>
      </w:r>
      <w:r>
        <w:rPr>
          <w:i/>
          <w:sz w:val="20"/>
          <w:szCs w:val="20"/>
        </w:rPr>
        <w:t xml:space="preserve">„…z powodu:” </w:t>
      </w:r>
      <w:r>
        <w:rPr>
          <w:sz w:val="20"/>
          <w:szCs w:val="20"/>
        </w:rPr>
        <w:t>wpisać podstawę prawną deklarowanej „niemożności” 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pierwsze pole</w:t>
      </w:r>
      <w:r>
        <w:rPr>
          <w:i/>
          <w:sz w:val="20"/>
          <w:szCs w:val="20"/>
        </w:rPr>
        <w:t xml:space="preserve"> miejscowość i data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pozostawić niezmienioną, automatycznie za</w:t>
      </w:r>
      <w:r>
        <w:rPr>
          <w:sz w:val="20"/>
          <w:szCs w:val="20"/>
        </w:rPr>
        <w:t xml:space="preserve">ciągniętą (z pierwszego pola tego załącznika) wartość w polu </w:t>
      </w:r>
      <w:r>
        <w:rPr>
          <w:i/>
          <w:sz w:val="20"/>
          <w:szCs w:val="20"/>
        </w:rPr>
        <w:t>nazwa i adres siedziby LGD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drugie pole</w:t>
      </w:r>
      <w:r>
        <w:rPr>
          <w:i/>
          <w:sz w:val="20"/>
          <w:szCs w:val="20"/>
        </w:rPr>
        <w:t xml:space="preserve"> miejscowość i data </w:t>
      </w:r>
      <w:r>
        <w:rPr>
          <w:sz w:val="20"/>
          <w:szCs w:val="20"/>
        </w:rPr>
        <w:t>– dowolny ciąg znaków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85" w:name="_Toc14429245"/>
      <w:r>
        <w:t>Załącznik nr 19. Informacje dotycz</w:t>
      </w:r>
      <w:r>
        <w:t>ące przetwarzania (…) (arkusz Zal_19_Osw_peln_osoba_upow)</w:t>
      </w:r>
      <w:bookmarkEnd w:id="985"/>
    </w:p>
    <w:p w:rsidR="00D814B8" w:rsidRDefault="0053412E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Ta część arkusza ma charakter informacyjny i powinna zawierać dane predefiniowane przez odpowiedni SW. Innymi słowy w polach „wykropkowanych” powinny znaleźć się informacje wprowadzone przez SW, dot</w:t>
      </w:r>
      <w:r>
        <w:rPr>
          <w:sz w:val="20"/>
          <w:szCs w:val="20"/>
        </w:rPr>
        <w:t>yczące administratora danych, siedziby administratora danych, adresów (e-mail i korespondencyjnego) administratora oraz adresu e-mail inspektora ochrony danych osobowych.</w:t>
      </w:r>
    </w:p>
    <w:p w:rsidR="00D814B8" w:rsidRDefault="0053412E">
      <w:pPr>
        <w:spacing w:before="24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Samorząd Województwa – przed opublikowaniem formularzy wniosku o przyznanie pomocy na swojej stronie internetowej – może uzupełnić część danych i zablokować te pola w celu zmniejszenia ryzyka popełnienia błędu podczas ich wielokrotnego, „ręcznego” wypełnia</w:t>
      </w:r>
      <w:r>
        <w:rPr>
          <w:sz w:val="20"/>
          <w:szCs w:val="20"/>
        </w:rPr>
        <w:t>nia przy każdym składanym WoPP.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986" w:name="_Toc14429246"/>
      <w:r>
        <w:t>Zgoda na przetwarzanie danych osobowych (arkusz Zal_19_Osw_peln_osoba_upow)</w:t>
      </w:r>
      <w:bookmarkEnd w:id="986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Oświadczenie powinna podpisać </w:t>
      </w:r>
      <w:r>
        <w:rPr>
          <w:b/>
          <w:sz w:val="20"/>
          <w:szCs w:val="20"/>
        </w:rPr>
        <w:t>każda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osoba upoważniona do kontaktu/pełnomocnik, która została wskazana w części II.A.5 oraz II.A.6.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Oświadczenie wypełnia się poprzez: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zaznaczenie znakiem „X” pola/komórki nad tekstem </w:t>
      </w:r>
      <w:r>
        <w:rPr>
          <w:i/>
          <w:sz w:val="20"/>
          <w:szCs w:val="20"/>
        </w:rPr>
        <w:t>„Wyrażam zgodę na…”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wypełnienie pola </w:t>
      </w:r>
      <w:r>
        <w:rPr>
          <w:i/>
          <w:sz w:val="20"/>
          <w:szCs w:val="20"/>
        </w:rPr>
        <w:t>miejscowość i data</w:t>
      </w:r>
      <w:r>
        <w:rPr>
          <w:sz w:val="20"/>
          <w:szCs w:val="20"/>
        </w:rPr>
        <w:t xml:space="preserve"> – dowolny ciąg znakó</w:t>
      </w:r>
      <w:r>
        <w:rPr>
          <w:sz w:val="20"/>
          <w:szCs w:val="20"/>
        </w:rPr>
        <w:t>w</w:t>
      </w:r>
    </w:p>
    <w:p w:rsidR="00D814B8" w:rsidRDefault="0053412E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złożenie czytelnego podpisu (na wydrukowanym egzemplarzu)</w:t>
      </w:r>
    </w:p>
    <w:p w:rsidR="00D814B8" w:rsidRDefault="0053412E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Samorząd Województwa – przed opublikowaniem formularzy wniosku o przyznanie pomocy na swojej stronie internetowej – może uzupełnić część danych, dotyczących nazwy, siedziby oraz adresu e-mail, na </w:t>
      </w:r>
      <w:r>
        <w:rPr>
          <w:sz w:val="20"/>
          <w:szCs w:val="20"/>
        </w:rPr>
        <w:t>który można przesłać ewentualne wycofanie zgody i zablokować te pola w celu zmniejszenia ryzyka popełnienia błędu podczas ich wielokrotnego, „ręcznego” wypełniania przy każdym składanym WoPP.</w:t>
      </w:r>
    </w:p>
    <w:p w:rsidR="00D814B8" w:rsidRDefault="0053412E">
      <w:pPr>
        <w:spacing w:before="240"/>
        <w:jc w:val="both"/>
      </w:pPr>
      <w:r>
        <w:rPr>
          <w:sz w:val="20"/>
          <w:szCs w:val="20"/>
        </w:rPr>
        <w:t>Należy pamiętać, że kopia tej część arkusza (</w:t>
      </w:r>
      <w:r>
        <w:rPr>
          <w:i/>
          <w:sz w:val="20"/>
          <w:szCs w:val="20"/>
        </w:rPr>
        <w:t>„Zgoda na…”</w:t>
      </w:r>
      <w:r>
        <w:rPr>
          <w:sz w:val="20"/>
          <w:szCs w:val="20"/>
        </w:rPr>
        <w:t>) znajdu</w:t>
      </w:r>
      <w:r>
        <w:rPr>
          <w:sz w:val="20"/>
          <w:szCs w:val="20"/>
        </w:rPr>
        <w:t>je się także w pliku WoPP_19_3_2z_ark_wpolwn.xlsx, tak więc uzupełnienia ww. danych należy dokonać także w arkuszu dodatkowym, przed jego powieleniem. Wtedy każda nowa kopia „Zgody…” będzie już zawierała predefiniowane dane w opisanym wyżej zakresie.</w:t>
      </w:r>
    </w:p>
    <w:p w:rsidR="00D814B8" w:rsidRDefault="00D814B8">
      <w:pPr>
        <w:spacing w:before="240"/>
        <w:jc w:val="both"/>
        <w:rPr>
          <w:sz w:val="20"/>
          <w:szCs w:val="20"/>
        </w:rPr>
      </w:pPr>
    </w:p>
    <w:p w:rsidR="00D814B8" w:rsidRDefault="0053412E">
      <w:pPr>
        <w:pStyle w:val="Nagwek3"/>
        <w:keepNext w:val="0"/>
        <w:keepLines w:val="0"/>
        <w:pageBreakBefore/>
        <w:widowControl w:val="0"/>
        <w:spacing w:before="240"/>
      </w:pPr>
      <w:bookmarkStart w:id="987" w:name="_Toc9422438"/>
      <w:bookmarkStart w:id="988" w:name="_Toc9505050"/>
      <w:bookmarkStart w:id="989" w:name="_Toc9594632"/>
      <w:bookmarkStart w:id="990" w:name="_Toc9866946"/>
      <w:bookmarkStart w:id="991" w:name="_Toc9924650"/>
      <w:bookmarkStart w:id="992" w:name="_Toc10015033"/>
      <w:bookmarkStart w:id="993" w:name="_Toc10556808"/>
      <w:bookmarkStart w:id="994" w:name="_Toc10640712"/>
      <w:bookmarkStart w:id="995" w:name="_Toc10737239"/>
      <w:bookmarkStart w:id="996" w:name="_Toc10792885"/>
      <w:bookmarkStart w:id="997" w:name="_Toc10817373"/>
      <w:bookmarkStart w:id="998" w:name="_Toc13481706"/>
      <w:bookmarkStart w:id="999" w:name="_Toc13559392"/>
      <w:bookmarkStart w:id="1000" w:name="_Toc13651279"/>
      <w:bookmarkStart w:id="1001" w:name="_Toc14429247"/>
      <w:r>
        <w:lastRenderedPageBreak/>
        <w:t>Wniosek o płatność (W-2_19.3) – wersja 2.z</w:t>
      </w:r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02" w:name="_Toc9422439"/>
      <w:bookmarkStart w:id="1003" w:name="_Toc9505051"/>
      <w:bookmarkStart w:id="1004" w:name="_Toc9594633"/>
      <w:bookmarkStart w:id="1005" w:name="_Toc9866947"/>
      <w:bookmarkStart w:id="1006" w:name="_Toc9924651"/>
      <w:bookmarkStart w:id="1007" w:name="_Toc10015034"/>
      <w:bookmarkStart w:id="1008" w:name="_Toc10556809"/>
      <w:bookmarkStart w:id="1009" w:name="_Toc10640713"/>
      <w:bookmarkStart w:id="1010" w:name="_Toc10737240"/>
      <w:bookmarkStart w:id="1011" w:name="_Toc10792886"/>
      <w:bookmarkStart w:id="1012" w:name="_Toc10817374"/>
      <w:bookmarkStart w:id="1013" w:name="_Toc13481707"/>
      <w:bookmarkStart w:id="1014" w:name="_Toc13559393"/>
      <w:bookmarkStart w:id="1015" w:name="_Toc13651280"/>
      <w:bookmarkStart w:id="1016" w:name="_Toc14429248"/>
      <w:r>
        <w:t>Sekcja tytułowa</w:t>
      </w:r>
      <w:bookmarkEnd w:id="1002"/>
      <w:bookmarkEnd w:id="1003"/>
      <w:r>
        <w:t xml:space="preserve"> (arkusz I_V)</w:t>
      </w:r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</w:p>
    <w:p w:rsidR="00D814B8" w:rsidRDefault="0053412E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UM. Na formularzu *.xlsx są to pola </w:t>
      </w:r>
      <w:r>
        <w:rPr>
          <w:b/>
          <w:sz w:val="20"/>
          <w:szCs w:val="20"/>
        </w:rPr>
        <w:t>z</w:t>
      </w:r>
      <w:r>
        <w:rPr>
          <w:b/>
          <w:sz w:val="20"/>
          <w:szCs w:val="20"/>
        </w:rPr>
        <w:t>ablokowane</w:t>
      </w:r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17" w:name="_Toc9422440"/>
      <w:bookmarkStart w:id="1018" w:name="_Toc9505052"/>
      <w:bookmarkStart w:id="1019" w:name="_Toc9594634"/>
      <w:bookmarkStart w:id="1020" w:name="_Toc9866948"/>
      <w:bookmarkStart w:id="1021" w:name="_Toc9924652"/>
      <w:bookmarkStart w:id="1022" w:name="_Toc10015035"/>
      <w:bookmarkStart w:id="1023" w:name="_Toc10556810"/>
      <w:bookmarkStart w:id="1024" w:name="_Toc10640714"/>
      <w:bookmarkStart w:id="1025" w:name="_Toc10737241"/>
      <w:bookmarkStart w:id="1026" w:name="_Toc10792887"/>
      <w:bookmarkStart w:id="1027" w:name="_Toc10817375"/>
      <w:bookmarkStart w:id="1028" w:name="_Toc13481708"/>
      <w:bookmarkStart w:id="1029" w:name="_Toc13559394"/>
      <w:bookmarkStart w:id="1030" w:name="_Toc13651281"/>
      <w:bookmarkStart w:id="1031" w:name="_Toc14429249"/>
      <w:r>
        <w:t>I. CZĘŚĆ OGÓLNA</w:t>
      </w:r>
      <w:bookmarkEnd w:id="1017"/>
      <w:bookmarkEnd w:id="1018"/>
      <w:r>
        <w:t xml:space="preserve"> (arkusz I_V)</w:t>
      </w:r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Cel złożenia formularza wniosku o płatność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Wniosek dotyczy operacji polegającej na: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3. Etap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D814B8" w:rsidRDefault="0053412E">
      <w:pPr>
        <w:pStyle w:val="Akapitzlist"/>
        <w:widowControl w:val="0"/>
        <w:tabs>
          <w:tab w:val="left" w:pos="0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Jeżeli w polu 2 wybrano:</w:t>
      </w:r>
    </w:p>
    <w:p w:rsidR="00D814B8" w:rsidRDefault="0053412E">
      <w:pPr>
        <w:pStyle w:val="Akapitzlist"/>
        <w:widowControl w:val="0"/>
        <w:numPr>
          <w:ilvl w:val="0"/>
          <w:numId w:val="9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„przygotowaniu projektu współpracy” – na liście wyboru dostępna będzie tylko wartość „I Etap”,</w:t>
      </w:r>
    </w:p>
    <w:p w:rsidR="00D814B8" w:rsidRDefault="0053412E">
      <w:pPr>
        <w:pStyle w:val="Akapitzlist"/>
        <w:widowControl w:val="0"/>
        <w:numPr>
          <w:ilvl w:val="0"/>
          <w:numId w:val="9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„realizacji projektu współpracy” – na liście wyboru dostępne będą wartości w przedziale </w:t>
      </w:r>
      <w:r>
        <w:rPr>
          <w:sz w:val="20"/>
          <w:szCs w:val="20"/>
        </w:rPr>
        <w:t>„I Etap” – „IV Etap”,</w:t>
      </w:r>
    </w:p>
    <w:p w:rsidR="00D814B8" w:rsidRDefault="0053412E">
      <w:pPr>
        <w:pStyle w:val="Akapitzlist"/>
        <w:widowControl w:val="0"/>
        <w:numPr>
          <w:ilvl w:val="0"/>
          <w:numId w:val="9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„przygotowaniu połączonym z realizacją projektu współpracy” – na liście dostępne będą wartości „I Etap” – „V Etap”.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bCs/>
          <w:sz w:val="20"/>
          <w:szCs w:val="20"/>
        </w:rPr>
        <w:t>Pole 4. Rodzaj płatności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D814B8" w:rsidRDefault="0053412E">
      <w:pPr>
        <w:pStyle w:val="Akapitzlist"/>
        <w:widowControl w:val="0"/>
        <w:tabs>
          <w:tab w:val="left" w:pos="0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Jeżeli w polu 2 wybrano „przygotowaniu </w:t>
      </w:r>
      <w:r>
        <w:rPr>
          <w:sz w:val="20"/>
          <w:szCs w:val="20"/>
        </w:rPr>
        <w:t>projektu współpracy” – na liście wyboru dostępna będzie tylko wartość „płatność końcowa”.</w:t>
      </w:r>
    </w:p>
    <w:p w:rsidR="00D814B8" w:rsidRDefault="0053412E">
      <w:pPr>
        <w:pStyle w:val="Akapitzlist"/>
        <w:widowControl w:val="0"/>
        <w:tabs>
          <w:tab w:val="left" w:pos="0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Jeżeli w polu 3 wybrano „V Etap” (dostępny tylko dla operacji polegającej na przygotowaniu połączonym z realizacją projektu współpracy) – na liście wyboru dostępna bę</w:t>
      </w:r>
      <w:r>
        <w:rPr>
          <w:sz w:val="20"/>
          <w:szCs w:val="20"/>
        </w:rPr>
        <w:t>dzie tylko wartość „płatność końcowa”.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32" w:name="_Toc9422441"/>
      <w:bookmarkStart w:id="1033" w:name="_Toc9505053"/>
      <w:bookmarkStart w:id="1034" w:name="_Toc9594635"/>
      <w:bookmarkStart w:id="1035" w:name="_Toc9866949"/>
      <w:bookmarkStart w:id="1036" w:name="_Toc9924653"/>
      <w:bookmarkStart w:id="1037" w:name="_Toc10015036"/>
      <w:bookmarkStart w:id="1038" w:name="_Toc10556811"/>
      <w:bookmarkStart w:id="1039" w:name="_Toc10640715"/>
      <w:bookmarkStart w:id="1040" w:name="_Toc10737242"/>
      <w:bookmarkStart w:id="1041" w:name="_Toc10792888"/>
      <w:bookmarkStart w:id="1042" w:name="_Toc10817376"/>
      <w:bookmarkStart w:id="1043" w:name="_Toc13481709"/>
      <w:bookmarkStart w:id="1044" w:name="_Toc13559395"/>
      <w:bookmarkStart w:id="1045" w:name="_Toc13651282"/>
      <w:bookmarkStart w:id="1046" w:name="_Toc14429250"/>
      <w:r>
        <w:t>II. DANE IDENTYFIKACYJNE LGD UMOCOWANEJ DO DZIAŁANIA W IMIENIU (…</w:t>
      </w:r>
      <w:bookmarkEnd w:id="1032"/>
      <w:r>
        <w:t>)</w:t>
      </w:r>
      <w:bookmarkEnd w:id="1033"/>
      <w:r>
        <w:t xml:space="preserve"> (arkusz I_V)</w:t>
      </w:r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Nazwa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</w:t>
      </w:r>
      <w:r>
        <w:rPr>
          <w:sz w:val="20"/>
          <w:szCs w:val="20"/>
        </w:rPr>
        <w:t>polu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</w:t>
      </w:r>
      <w:r>
        <w:rPr>
          <w:sz w:val="20"/>
          <w:szCs w:val="20"/>
        </w:rPr>
        <w:t>fikacyjny, NIP i REGON – w przypadku wpisania krótszego ciągu (zawierającego mniej niż wymaganą liczbę znaków) maska wprowadzania uzupełni ciąg o brakującą liczbę znaków, wstawiając zera na początku ciągu!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Siedziba i adres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5.1 jest zabloko</w:t>
      </w:r>
      <w:r>
        <w:rPr>
          <w:sz w:val="20"/>
          <w:szCs w:val="20"/>
        </w:rPr>
        <w:t>wane z wprowadzoną (bez możliwości edycji) wartością „Polska”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5.2 należy wybrać, przy pomocy listy rozwijalnej, województwo.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polu 5.5 należy wpisać ciąg pięciu cyfr bez znaku „-” – maska wprowadzania wyświetli kod w formacie ##-###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Pozostałe pola </w:t>
      </w:r>
      <w:r>
        <w:rPr>
          <w:sz w:val="20"/>
          <w:szCs w:val="20"/>
        </w:rPr>
        <w:t>w tej części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Adres do korespondencji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Ponieważ adres korespondencyjny nie musi dotyczyć Polski, dlatego w polu 6.1 należy wybrać z dostępnej listy właściwy kraj, z którym powiązany</w:t>
      </w:r>
      <w:r>
        <w:rPr>
          <w:sz w:val="20"/>
          <w:szCs w:val="20"/>
        </w:rPr>
        <w:t xml:space="preserve"> jest adres do korespondencji. Jeżeli zostanie wybrana Polska, wtedy z pól 6.2, 6.3 i 6.4 zostaną usunięte wartości „nie dotyczy”, a w polu 6.2 trzeba będzie wybrać z listy odpowiednie województwo. W przypadku wybrania w polu 6.1 wartości wartości innej ni</w:t>
      </w:r>
      <w:r>
        <w:rPr>
          <w:sz w:val="20"/>
          <w:szCs w:val="20"/>
        </w:rPr>
        <w:t>ż „Polska” ww. pola pozostaną wypełnione wartością „nie dotyczy”.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6.5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Dane pełnomocnika LGD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Pola od 7.3 do 7.6 wypełnia się analogicznie </w:t>
      </w:r>
      <w:r>
        <w:rPr>
          <w:sz w:val="20"/>
          <w:szCs w:val="20"/>
        </w:rPr>
        <w:t>jak pola w zakresie od 6.1 do 6.4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7.7 Kod pocztowy) nie zawierają żadnych reguł – można w nie wpisać dowolny ciąg znakow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8. Dane osoby uprawnionej do kontaktu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Pola w tej części nie zawierają żadnych reguł – można w nie </w:t>
      </w:r>
      <w:r>
        <w:rPr>
          <w:sz w:val="20"/>
          <w:szCs w:val="20"/>
        </w:rPr>
        <w:t>wpisać dowolny ciąg znakow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47" w:name="_Toc517433946"/>
      <w:bookmarkStart w:id="1048" w:name="_Toc9505054"/>
      <w:bookmarkStart w:id="1049" w:name="_Toc9594636"/>
      <w:bookmarkStart w:id="1050" w:name="_Toc9866950"/>
      <w:bookmarkStart w:id="1051" w:name="_Toc9924654"/>
      <w:bookmarkStart w:id="1052" w:name="_Toc10015037"/>
      <w:bookmarkStart w:id="1053" w:name="_Toc10556812"/>
      <w:bookmarkStart w:id="1054" w:name="_Toc10640716"/>
      <w:bookmarkStart w:id="1055" w:name="_Toc10737243"/>
      <w:bookmarkStart w:id="1056" w:name="_Toc10792889"/>
      <w:bookmarkStart w:id="1057" w:name="_Toc10817377"/>
      <w:bookmarkStart w:id="1058" w:name="_Toc13481710"/>
      <w:bookmarkStart w:id="1059" w:name="_Toc13559396"/>
      <w:bookmarkStart w:id="1060" w:name="_Toc13651283"/>
      <w:bookmarkStart w:id="1061" w:name="_Toc14429251"/>
      <w:r>
        <w:t>III. DANE Z UMOWY O PRZYZNANIU POMOCY</w:t>
      </w:r>
      <w:bookmarkEnd w:id="1047"/>
      <w:bookmarkEnd w:id="1048"/>
      <w:r>
        <w:t xml:space="preserve"> (arkusz I_V)</w:t>
      </w:r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1. Nazwa Funduszu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zablokowane, wypełnione na stałe wartością „Europejski Fundusz Rolny na rzecz Rozwoju Obszarów Wiejskich”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Numer umowy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Należy uzupełnić brakują</w:t>
      </w:r>
      <w:r>
        <w:rPr>
          <w:rFonts w:eastAsia="Times New Roman"/>
          <w:sz w:val="20"/>
          <w:szCs w:val="20"/>
        </w:rPr>
        <w:t>ce elementy numeru umowy: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 – np. w przypadku 00001 trzeba wpisać każdą cyfrę, także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dwucyfrowy kod UM, wybierany z listy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dwucyfrowe </w:t>
      </w:r>
      <w:r>
        <w:rPr>
          <w:rFonts w:eastAsia="Times New Roman"/>
          <w:sz w:val="20"/>
          <w:szCs w:val="20"/>
        </w:rPr>
        <w:t>oznaczenie roku podpisania umowy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Data zawarcia umowy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datę w formacie: dd-mm-rrrr – reguła poprawności pilnuje aby nie była to data wcześniejsza niż 01-01-2016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Kwota pomocy z umowy przyznana dla całej operacji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Reguła poprawności</w:t>
      </w:r>
      <w:r>
        <w:rPr>
          <w:rFonts w:eastAsia="Times New Roman"/>
          <w:sz w:val="20"/>
          <w:szCs w:val="20"/>
        </w:rPr>
        <w:t xml:space="preserve"> pilnuje tylko aby w tym polu wpisywać liczbę – nie ma żadnych dodatkowych walidacji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Kwota pomocy z umowy przyznana dla danego etapu operacji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Reguła poprawności pilnuje aby w tym polu można było wpisać tylko liczbę oraz by liczba ta nie była większ</w:t>
      </w:r>
      <w:r>
        <w:rPr>
          <w:rFonts w:eastAsia="Times New Roman"/>
          <w:sz w:val="20"/>
          <w:szCs w:val="20"/>
        </w:rPr>
        <w:t>a niż podana w polu 4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62" w:name="_Toc517433947"/>
      <w:bookmarkStart w:id="1063" w:name="_Toc9505055"/>
      <w:bookmarkStart w:id="1064" w:name="_Toc9594637"/>
      <w:bookmarkStart w:id="1065" w:name="_Toc9866951"/>
      <w:bookmarkStart w:id="1066" w:name="_Toc9924655"/>
      <w:bookmarkStart w:id="1067" w:name="_Toc10015038"/>
      <w:bookmarkStart w:id="1068" w:name="_Toc10556813"/>
      <w:bookmarkStart w:id="1069" w:name="_Toc10640717"/>
      <w:bookmarkStart w:id="1070" w:name="_Toc10737244"/>
      <w:bookmarkStart w:id="1071" w:name="_Toc10792890"/>
      <w:bookmarkStart w:id="1072" w:name="_Toc10817378"/>
      <w:bookmarkStart w:id="1073" w:name="_Toc13481711"/>
      <w:bookmarkStart w:id="1074" w:name="_Toc13559397"/>
      <w:bookmarkStart w:id="1075" w:name="_Toc13651284"/>
      <w:bookmarkStart w:id="1076" w:name="_Toc14429252"/>
      <w:r>
        <w:t>IV. DANE DOTYCZĄCE WNIOSKU O PŁATNOŚĆ DLA PROJEKTU WSPÓŁPRACY</w:t>
      </w:r>
      <w:bookmarkEnd w:id="1062"/>
      <w:bookmarkEnd w:id="1063"/>
      <w:r>
        <w:t xml:space="preserve"> (arkusz I_V)</w:t>
      </w:r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Wniosek za okres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okres, za jaki składany jest wniosek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 formacie: dd-mm-rrrr: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pozycji „od…” pole jest zablokowane – formuła </w:t>
      </w:r>
      <w:r>
        <w:rPr>
          <w:rFonts w:eastAsia="Times New Roman"/>
          <w:sz w:val="20"/>
          <w:szCs w:val="20"/>
        </w:rPr>
        <w:t>automatycznie „ściągnie” wartość z pola III.3 Data zawarcia umowy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„do….” reguła poprawności pilnuje aby data „do” była późniejsza niż data „od”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Formularz wniosku </w:t>
      </w:r>
      <w:r>
        <w:rPr>
          <w:rFonts w:eastAsia="Times New Roman"/>
          <w:b/>
          <w:sz w:val="20"/>
          <w:szCs w:val="20"/>
        </w:rPr>
        <w:t>nie sumuje</w:t>
      </w:r>
      <w:r>
        <w:rPr>
          <w:rFonts w:eastAsia="Times New Roman"/>
          <w:sz w:val="20"/>
          <w:szCs w:val="20"/>
        </w:rPr>
        <w:t xml:space="preserve"> automatycznie wartości z pól od IV.A.6 do IV.A.11 w części „IV.A. </w:t>
      </w:r>
      <w:r>
        <w:rPr>
          <w:rFonts w:eastAsia="Times New Roman"/>
          <w:sz w:val="20"/>
          <w:szCs w:val="20"/>
        </w:rPr>
        <w:t>Dane partnerów (LGD) ubiegających się o płatność w danym etapie operacji”!</w:t>
      </w:r>
    </w:p>
    <w:p w:rsidR="00D814B8" w:rsidRDefault="00D814B8"/>
    <w:p w:rsidR="00D814B8" w:rsidRDefault="00D814B8"/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lastRenderedPageBreak/>
        <w:t>Pole 2. Koszty całkowite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od „0”,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Wpisana kwota powinna </w:t>
      </w:r>
      <w:r>
        <w:rPr>
          <w:sz w:val="20"/>
          <w:szCs w:val="20"/>
        </w:rPr>
        <w:t>być równa sumie kwot z pola IV.A.6 dla wszystkich partnerów.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Koszty niekwalifikowalne realizacji danego etapu operacji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(IV.2) i kwalifikowalnych (IV.4)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</w:t>
      </w:r>
      <w:r>
        <w:rPr>
          <w:sz w:val="20"/>
          <w:szCs w:val="20"/>
        </w:rPr>
        <w:t>na kwota powinna być równa sumie kwot z pola IV.A.7 dla wszystkich partnerów.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Koszty kwalifikowalne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(IV.2), z dokładnością do dwóch mie</w:t>
      </w:r>
      <w:r>
        <w:rPr>
          <w:sz w:val="20"/>
          <w:szCs w:val="20"/>
        </w:rPr>
        <w:t>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IV.A.8 dla wszystkich partnerów.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4.1 Koszty inwestycyjne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(IV.4), z dokładnością do dwóch miejsc po</w:t>
      </w:r>
      <w:r>
        <w:rPr>
          <w:sz w:val="20"/>
          <w:szCs w:val="20"/>
        </w:rPr>
        <w:t xml:space="preserve">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IV.A.8.1 dla wszystkich partnerów.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Wnioskowana kwota pomocy dla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(IV.4), z dokła</w:t>
      </w:r>
      <w:r>
        <w:rPr>
          <w:sz w:val="20"/>
          <w:szCs w:val="20"/>
        </w:rPr>
        <w:t>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IV.A.9 dla wszystkich partnerów.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5.1 publiczne środki wspólnotowe (wkład EFRROW)</w:t>
      </w:r>
    </w:p>
    <w:p w:rsidR="00D814B8" w:rsidRDefault="0053412E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oraz</w:t>
      </w:r>
    </w:p>
    <w:p w:rsidR="00D814B8" w:rsidRDefault="0053412E">
      <w:pPr>
        <w:widowControl w:val="0"/>
        <w:spacing w:after="0"/>
        <w:jc w:val="both"/>
      </w:pPr>
      <w:r>
        <w:rPr>
          <w:rFonts w:eastAsia="Times New Roman"/>
          <w:b/>
          <w:sz w:val="20"/>
          <w:szCs w:val="20"/>
        </w:rPr>
        <w:t>Pole 5.2 publiczne środki krajowe (wkład krajowy) wypłacane przez ARiMR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Ze </w:t>
      </w:r>
      <w:r>
        <w:rPr>
          <w:rFonts w:eastAsia="Times New Roman"/>
          <w:sz w:val="20"/>
          <w:szCs w:val="20"/>
        </w:rPr>
        <w:t>względu na różnice wynikające ze sposobu zaokrąglania podziału na środki „unijne” i „krajowe” w danych finansowych poszczególnych partnerów nie zastosowano algorytmu obliczającego podział na poziomie podsumowania etapu operacji. Podzielenie całej kwoty pom</w:t>
      </w:r>
      <w:r>
        <w:rPr>
          <w:rFonts w:eastAsia="Times New Roman"/>
          <w:sz w:val="20"/>
          <w:szCs w:val="20"/>
        </w:rPr>
        <w:t>ocy dla danego etapu dałoby różny wynik EFRROW/Krajowe niż suma kwot cząstkowych EFRROW/Krajowe dla poszczególnych partnerów.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Dlatego sumy wartości cząstkowych z pól IV.A.9.1 i IV.A.9.2 (z danych poszczególnych partnerów) należy obliczyć poza formularzem, </w:t>
      </w:r>
      <w:r>
        <w:rPr>
          <w:rFonts w:eastAsia="Times New Roman"/>
          <w:sz w:val="20"/>
          <w:szCs w:val="20"/>
        </w:rPr>
        <w:t>a wyniki wpisać odpowiednio do pól 5.1 i 5.2 we wniosku. W przypadku gdy łączna wartość z pól 5.1 i 5.2 będzie różna od wartości wpisanej do pola 5 kolor jego wypełnienia zmieni się z białego na czerwony.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 xml:space="preserve">Pole 6. Wnioskowana kwota pomocy dotycząca kosztów </w:t>
      </w:r>
      <w:r>
        <w:rPr>
          <w:b/>
          <w:sz w:val="20"/>
          <w:szCs w:val="20"/>
        </w:rPr>
        <w:t>inwestycyjnych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(IV.5),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IV.A.10 dla wszystkich partnerów.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</w:t>
      </w:r>
      <w:r>
        <w:rPr>
          <w:rFonts w:eastAsia="Times New Roman"/>
          <w:b/>
          <w:sz w:val="20"/>
          <w:szCs w:val="20"/>
        </w:rPr>
        <w:t>1 w tym kwota rozliczająca zaliczkę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pomocy, dotycząca kosztów inwestycyjnych operacji (IV.6),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</w:t>
      </w:r>
      <w:r>
        <w:rPr>
          <w:sz w:val="20"/>
          <w:szCs w:val="20"/>
        </w:rPr>
        <w:t>e kwot z pola IV.A.10.1 dla wszystkich partnerów.</w:t>
      </w:r>
    </w:p>
    <w:p w:rsidR="00D814B8" w:rsidRDefault="00D814B8"/>
    <w:p w:rsidR="00D814B8" w:rsidRDefault="00D814B8">
      <w:pPr>
        <w:pageBreakBefore/>
        <w:suppressAutoHyphens w:val="0"/>
        <w:rPr>
          <w:b/>
          <w:sz w:val="20"/>
          <w:szCs w:val="20"/>
        </w:rPr>
      </w:pP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7. Odsetki od wypłaconej zaliczki / wyprzedzającego finansowania podlegające (…)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Wpisana kwota powinna być </w:t>
      </w:r>
      <w:r>
        <w:rPr>
          <w:sz w:val="20"/>
          <w:szCs w:val="20"/>
        </w:rPr>
        <w:t>równa sumie kwot z pola IV.A.11 dla wszystkich partnerów.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77" w:name="_Toc9594638"/>
      <w:bookmarkStart w:id="1078" w:name="_Toc9866952"/>
      <w:bookmarkStart w:id="1079" w:name="_Toc9924656"/>
      <w:bookmarkStart w:id="1080" w:name="_Toc10015039"/>
      <w:bookmarkStart w:id="1081" w:name="_Toc10556814"/>
      <w:bookmarkStart w:id="1082" w:name="_Toc10640718"/>
      <w:bookmarkStart w:id="1083" w:name="_Toc10737245"/>
      <w:bookmarkStart w:id="1084" w:name="_Toc10792891"/>
      <w:bookmarkStart w:id="1085" w:name="_Toc10817379"/>
      <w:bookmarkStart w:id="1086" w:name="_Toc13481712"/>
      <w:bookmarkStart w:id="1087" w:name="_Toc13559398"/>
      <w:bookmarkStart w:id="1088" w:name="_Toc13651285"/>
      <w:bookmarkStart w:id="1089" w:name="_Toc14429253"/>
      <w:r>
        <w:t>IV.A. DANE PARTNERÓW (LGD) UBIEGAJĄCYCH SIĘ O PŁATNOŚĆ W (…) (arkusz I_V)</w:t>
      </w:r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WoP_19_3_2z_ark_wpolwn.xlsx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Dane</w:t>
      </w:r>
      <w:r>
        <w:rPr>
          <w:b/>
          <w:sz w:val="20"/>
          <w:szCs w:val="20"/>
        </w:rPr>
        <w:t xml:space="preserve"> identyfikacyjne Partnera nr: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całkowitą, większą od „0” 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podobno istnieje potencjalna możliwość, że partner wiodący /nr 1 z WoPP/, na podstawie aneksu do umowy o wspólnej realizacji operacji, wycofa się z projektu, a r</w:t>
      </w:r>
      <w:r>
        <w:rPr>
          <w:i/>
          <w:sz w:val="20"/>
          <w:szCs w:val="20"/>
        </w:rPr>
        <w:t>olę wiodącej LGD przejmie partner z innym numerem – dlatego na WoP w tym polu nie zdefiniowano „na stałe” wartości „1” tylko „&gt;0”; natomiast w pliku dodatkowych arkuszy w części IV.A w polu 1 reguła poprawności pilnuje aby wartość była większa od „1”)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</w:t>
      </w:r>
      <w:r>
        <w:rPr>
          <w:b/>
          <w:sz w:val="20"/>
          <w:szCs w:val="20"/>
        </w:rPr>
        <w:t xml:space="preserve"> 2. Numer Identyfikacyjny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Nazwa Partnera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NIP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większą od „0”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REGON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NIP i REGON – w przypadku wpisania krótszego ciągu (zawierającego mniej niż wymaganą liczbę znaków) maska </w:t>
      </w:r>
      <w:r>
        <w:rPr>
          <w:sz w:val="20"/>
          <w:szCs w:val="20"/>
        </w:rPr>
        <w:t>wprowadzania uzupełni ciąg o brakującą liczbę znaków, wstawiając zera na początku ciągu!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6. Koszty całkowite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od „0”,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Pole 7. </w:t>
      </w:r>
      <w:r>
        <w:rPr>
          <w:rFonts w:eastAsia="Times New Roman"/>
          <w:b/>
          <w:sz w:val="20"/>
          <w:szCs w:val="20"/>
        </w:rPr>
        <w:t>Koszty niekwalifikowalne realizacji danego etapu operacji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(IV.A.6) i kwalifikowalnych (IV.A.8)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8. Koszty kwalifikowalne realizacji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</w:t>
      </w:r>
      <w:r>
        <w:rPr>
          <w:sz w:val="20"/>
          <w:szCs w:val="20"/>
        </w:rPr>
        <w:t>olu można wpisać tylko liczbę dodatnią, nie większą niż koszty całkowite (IV.A.6),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8.1 Koszty inwestycyjne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(IV.A.8), z do</w:t>
      </w:r>
      <w:r>
        <w:rPr>
          <w:sz w:val="20"/>
          <w:szCs w:val="20"/>
        </w:rPr>
        <w:t>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9. Wnioskowana kwota pomocy dla danego etapu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(IV.A.8), z dokładnością do dwóch miejsc po przecinku.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9.1 publicz</w:t>
      </w:r>
      <w:r>
        <w:rPr>
          <w:rFonts w:eastAsia="Times New Roman"/>
          <w:b/>
          <w:sz w:val="20"/>
          <w:szCs w:val="20"/>
        </w:rPr>
        <w:t>ne środki wspólnotowe (wkład EFRROW)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Wartość pola obliczana jest atomatycznie (63,63% wnioskowanej kwoty pomocy /IV.A.9/), z dokładnością do dwóch miejsc po przecinku, zaokrąglana „w dół”.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9.2 publiczne środki krajowe (wkład krajowy) wypłacane przez A</w:t>
      </w:r>
      <w:r>
        <w:rPr>
          <w:rFonts w:eastAsia="Times New Roman"/>
          <w:b/>
          <w:sz w:val="20"/>
          <w:szCs w:val="20"/>
        </w:rPr>
        <w:t>RiMR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Wartość pola obliczana jest atomatycznie, jako różnica wnioskowanej kwoty pomocy i wkładu EFRROW (IV.A.9 – IV.A.9.1), z dokładnością do dwóch miejsc po przecinku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Automatycznie wyliczone wartości w polach IV.A.9.1 i IV.A.9.2 można zastapić warto</w:t>
      </w:r>
      <w:r>
        <w:rPr>
          <w:rFonts w:eastAsia="Times New Roman"/>
          <w:sz w:val="20"/>
          <w:szCs w:val="20"/>
        </w:rPr>
        <w:t>ściami wpisanymi „z ręki”, jednak w przypadku gdy łączna wartość z pól IV.A.9.1 i IV.A.9.2 będzie różna od wartości wpisanej do pola IV.A.9 kolor jego wypełnienia zmieni się z białego na czerwony.</w:t>
      </w:r>
    </w:p>
    <w:p w:rsidR="00D814B8" w:rsidRDefault="0053412E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10. Wnioskowana kwota pomocy dotycząca kosztów inwesty</w:t>
      </w:r>
      <w:r>
        <w:rPr>
          <w:b/>
          <w:sz w:val="20"/>
          <w:szCs w:val="20"/>
        </w:rPr>
        <w:t>cyjnych operacji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(IV.A.9), z dokładnością do dwóch miejsc po przecinku.</w:t>
      </w:r>
    </w:p>
    <w:p w:rsidR="00D814B8" w:rsidRDefault="0053412E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10.1 w tym kwota rozliczająca zaliczkę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dodatnią, nie </w:t>
      </w:r>
      <w:r>
        <w:rPr>
          <w:sz w:val="20"/>
          <w:szCs w:val="20"/>
        </w:rPr>
        <w:t>większą niż wnioskowana kwota pomocy, dotycząca kosztów inwestycyjnych operacji (IV.A.10), z dokładnością do dwóch miejsc po przecinku.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11. Odsetki od wypłaconej zaliczki / wyprzedzającego finansowania podlegające (…)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</w:t>
      </w:r>
      <w:r>
        <w:rPr>
          <w:sz w:val="20"/>
          <w:szCs w:val="20"/>
        </w:rPr>
        <w:t>zbę dodatnią, z dokładnością do dwóch miejsc po przecinku.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090" w:name="_Toc9594639"/>
      <w:bookmarkStart w:id="1091" w:name="_Toc9866953"/>
      <w:bookmarkStart w:id="1092" w:name="_Toc9924657"/>
      <w:bookmarkStart w:id="1093" w:name="_Toc10015040"/>
      <w:bookmarkStart w:id="1094" w:name="_Toc10556815"/>
      <w:bookmarkStart w:id="1095" w:name="_Toc10640719"/>
      <w:bookmarkStart w:id="1096" w:name="_Toc10737246"/>
      <w:bookmarkStart w:id="1097" w:name="_Toc10792892"/>
      <w:bookmarkStart w:id="1098" w:name="_Toc10817380"/>
      <w:bookmarkStart w:id="1099" w:name="_Toc13481713"/>
      <w:bookmarkStart w:id="1100" w:name="_Toc13559399"/>
      <w:bookmarkStart w:id="1101" w:name="_Toc13651286"/>
      <w:bookmarkStart w:id="1102" w:name="_Toc14429254"/>
      <w:r>
        <w:t>V. SUMA Z WYKAZU FAKTUR LUB DOKUMENTÓW O RÓWNOWAŻNEJ WARTOŚCI (…) (arkusz I_V)</w:t>
      </w:r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(trzy) pola w tabeli zaciągają dane automatycznie z podsumowania w tabeli V.A. Wykaz faktur lub dokumentów (</w:t>
      </w:r>
      <w:r>
        <w:rPr>
          <w:sz w:val="20"/>
          <w:szCs w:val="20"/>
        </w:rPr>
        <w:t>…) Widoczne w tabeli wartości „#N/D!” zostaną zastąpione odpowiednimi kwotami – pod warunkiem poprawnego wypełnienia tabel V.A. i VI. Zgodnie z „Instrukcją wypełniania wniosku (…)” w pierwszej kolejności należy wypełnić tabelę VI. Zestawienie rzeczowo-fina</w:t>
      </w:r>
      <w:r>
        <w:rPr>
          <w:sz w:val="20"/>
          <w:szCs w:val="20"/>
        </w:rPr>
        <w:t>nsowe operacji, a dopiero po nim V.A. – we „Wskazówkach” sugerujemy postępować w ten sam sposób. Dlatego poniżej zamieszczono opis sposobu wypełnienia arkuszy w zmienionej (zalecanej) kolejności.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03" w:name="_Toc9594641"/>
      <w:bookmarkStart w:id="1104" w:name="_Toc9866954"/>
      <w:bookmarkStart w:id="1105" w:name="_Toc9924658"/>
      <w:bookmarkStart w:id="1106" w:name="_Toc10015041"/>
      <w:bookmarkStart w:id="1107" w:name="_Toc10556816"/>
      <w:bookmarkStart w:id="1108" w:name="_Toc10640720"/>
      <w:bookmarkStart w:id="1109" w:name="_Toc10737247"/>
      <w:bookmarkStart w:id="1110" w:name="_Toc10792893"/>
      <w:bookmarkStart w:id="1111" w:name="_Toc10817381"/>
      <w:bookmarkStart w:id="1112" w:name="_Toc13481714"/>
      <w:bookmarkStart w:id="1113" w:name="_Toc13559400"/>
      <w:bookmarkStart w:id="1114" w:name="_Toc13651287"/>
      <w:bookmarkStart w:id="1115" w:name="_Toc14429255"/>
      <w:r>
        <w:t>VI. ZESTAWIENIE RZECZOWO-FINANSOWE OPERACJI (arkusz VI_ZRF)</w:t>
      </w:r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nagłówku sekcji (oraz w kolumnach 6-8 i 9-11) numer etapu, w ramach którego składany jest wniosek, jest automatycznie zaciągany z pola 3 Etap operacji (z sekcji I. Część ogólna).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24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451405" cy="722440"/>
            <wp:effectExtent l="0" t="0" r="0" b="1460"/>
            <wp:docPr id="56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451405" cy="722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24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=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24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425778" cy="613589"/>
            <wp:effectExtent l="0" t="0" r="0" b="0"/>
            <wp:docPr id="57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4425778" cy="6135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D814B8"/>
    <w:p w:rsidR="00D814B8" w:rsidRDefault="00D814B8">
      <w:pPr>
        <w:pageBreakBefore/>
        <w:suppressAutoHyphens w:val="0"/>
        <w:rPr>
          <w:sz w:val="20"/>
          <w:szCs w:val="20"/>
        </w:rPr>
      </w:pPr>
    </w:p>
    <w:p w:rsidR="00D814B8" w:rsidRDefault="0053412E">
      <w:pPr>
        <w:jc w:val="both"/>
        <w:rPr>
          <w:sz w:val="20"/>
          <w:szCs w:val="20"/>
        </w:rPr>
      </w:pPr>
      <w:r>
        <w:rPr>
          <w:sz w:val="20"/>
          <w:szCs w:val="20"/>
        </w:rPr>
        <w:t>Poniżej opisane zostały niektóre właściwości pól – formuły i walida</w:t>
      </w:r>
      <w:r>
        <w:rPr>
          <w:sz w:val="20"/>
          <w:szCs w:val="20"/>
        </w:rPr>
        <w:t>cje w nich umieszczone – na podstawie tabeli ZRF, wypełnionej przykładowymi danymi.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5914" cy="3726810"/>
            <wp:effectExtent l="0" t="0" r="2536" b="6990"/>
            <wp:docPr id="58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726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wszystkie wiersze nagłówka tabeli ZRF – czyli wiersze od 1 do 5 oraz wiersze z nazwami rodzajów kosztów: I., II. i III. Zablokowane są także wszystkie </w:t>
      </w:r>
      <w:r>
        <w:rPr>
          <w:sz w:val="20"/>
          <w:szCs w:val="20"/>
        </w:rPr>
        <w:t>komórki „wyszarzone”.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Ponadto zablokowane są pola z numerami grup kosztów: A., B., C. itd. (w kolumnie A) – natomiast pola z nazwą grup kosztów (na rysunku powyżej „Coś A”, „Coś B”, itd. w kolumnie B) są dostępne – można w nich wpisać dowolny ciąg znaków.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komórki w wierszach „podsumowań” (Suma A., Suma B., Suma I, Suma II – kolumny od A do E.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komórki w kolumnach od A do C, w wierszach podsumowujących koszty kwalifikowalne dla poszczególnych Partnerów – natomiast w kolumnie D (</w:t>
      </w:r>
      <w:r>
        <w:rPr>
          <w:sz w:val="20"/>
          <w:szCs w:val="20"/>
        </w:rPr>
        <w:t>w wierszach podsumowujących koszty kwalifikowalne dla poszczególnych Partnerów) należy wpisać numer(y) partnera(ów), zgodne z numerami podanymi w kolumnie M (w kolumnie 13 tabeli ZRF). Dzięki temu formuły policzą (jak w zaprezentowanym powyżej przykładowym</w:t>
      </w:r>
      <w:r>
        <w:rPr>
          <w:sz w:val="20"/>
          <w:szCs w:val="20"/>
        </w:rPr>
        <w:t xml:space="preserve"> ZRF) sumy wszystkich kosztów poniesionych/wykazanych dla poszczególnych Partnerów.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Nie są natomiast zablokowane żadne komórki zawierające formuły (zaznaczone „różowym” wypełnieniem). Z różnych względów może zaistnieć potrzeba ich zmodyfikowania lub zastąp</w:t>
      </w:r>
      <w:r>
        <w:rPr>
          <w:sz w:val="20"/>
          <w:szCs w:val="20"/>
        </w:rPr>
        <w:t>ienia wartości wyliczonej automatycznie, wartością wpisaną „z ręki”. Jednak w przypadku nieumyślnego usunięcia formuły należy pamiętać o możliwości użycia polecenia „Cofnij” lub kombinacji klawiszy [Ctrl]+[Z]. Więcej informacji o modyfikowaniu formuł można</w:t>
      </w:r>
      <w:r>
        <w:rPr>
          <w:sz w:val="20"/>
          <w:szCs w:val="20"/>
        </w:rPr>
        <w:t xml:space="preserve"> znaleźć w części ogólnej „Wskazówek” w rozdziale „</w:t>
      </w:r>
      <w:hyperlink r:id="rId328" w:history="1">
        <w:r>
          <w:rPr>
            <w:rStyle w:val="Hipercze"/>
            <w:sz w:val="20"/>
            <w:szCs w:val="20"/>
          </w:rPr>
          <w:t>Dodawanie wierszy...</w:t>
        </w:r>
      </w:hyperlink>
      <w:r>
        <w:rPr>
          <w:sz w:val="20"/>
          <w:szCs w:val="20"/>
        </w:rPr>
        <w:t xml:space="preserve">” lub wspomnianym we wstępie kursie </w:t>
      </w:r>
      <w:hyperlink r:id="rId329" w:history="1">
        <w:r>
          <w:rPr>
            <w:rStyle w:val="Hipercze"/>
            <w:sz w:val="20"/>
            <w:szCs w:val="20"/>
          </w:rPr>
          <w:t>MS E</w:t>
        </w:r>
        <w:bookmarkStart w:id="1116" w:name="_Hlt9854081"/>
        <w:r>
          <w:rPr>
            <w:rStyle w:val="Hipercze"/>
            <w:sz w:val="20"/>
            <w:szCs w:val="20"/>
          </w:rPr>
          <w:t>x</w:t>
        </w:r>
        <w:bookmarkEnd w:id="1116"/>
        <w:r>
          <w:rPr>
            <w:rStyle w:val="Hipercze"/>
            <w:sz w:val="20"/>
            <w:szCs w:val="20"/>
          </w:rPr>
          <w:t>cel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poszczególnych pozycjach ZRF (czyli w wierszach np. </w:t>
      </w:r>
      <w:r>
        <w:rPr>
          <w:sz w:val="20"/>
          <w:szCs w:val="20"/>
        </w:rPr>
        <w:t>A.1, A.2, B.1, II.1, II.2)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(tabeli ZRF) uzupełnić numer/kod pozycji (dowolny ciąg znaków – jednak z zachowaniem ciągłości i unikalności numeracji w ramach poszczególnych grup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 wpisać nazwę zadani</w:t>
      </w:r>
      <w:r>
        <w:rPr>
          <w:rFonts w:eastAsia="Times New Roman"/>
          <w:sz w:val="20"/>
          <w:szCs w:val="20"/>
        </w:rPr>
        <w:t>a, którego dotyczy dana pozycja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3 wpisać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liczbę „jednostek” zgodnie z umową (tylko l</w:t>
      </w:r>
      <w:r>
        <w:rPr>
          <w:rFonts w:eastAsia="Times New Roman"/>
          <w:sz w:val="20"/>
          <w:szCs w:val="20"/>
        </w:rPr>
        <w:t>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5 wpisać liczbę „jednostek” zgodnie z rozliczeniem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6 wpisać kwotę kosztów kwalifikowalnych, ogółem dla danego etapu, wg </w:t>
      </w:r>
      <w:r>
        <w:rPr>
          <w:rFonts w:eastAsia="Times New Roman"/>
          <w:b/>
          <w:sz w:val="20"/>
          <w:szCs w:val="20"/>
        </w:rPr>
        <w:t>um</w:t>
      </w:r>
      <w:r>
        <w:rPr>
          <w:rFonts w:eastAsia="Times New Roman"/>
          <w:b/>
          <w:sz w:val="20"/>
          <w:szCs w:val="20"/>
        </w:rPr>
        <w:t>owy</w:t>
      </w:r>
      <w:r>
        <w:rPr>
          <w:rFonts w:eastAsia="Times New Roman"/>
          <w:sz w:val="20"/>
          <w:szCs w:val="20"/>
        </w:rPr>
        <w:t xml:space="preserve">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kwotę VAT (tylko liczby, z dokładnością do dwóch miejsc po przecinku, nie większe niż 23% kwoty wykazanej w kolumnie 6)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lastRenderedPageBreak/>
        <w:t>w kolumnie 8 wpisać kwotę kosztów inwestycyjnych, og</w:t>
      </w:r>
      <w:r>
        <w:rPr>
          <w:rFonts w:eastAsia="Times New Roman"/>
          <w:sz w:val="20"/>
          <w:szCs w:val="20"/>
        </w:rPr>
        <w:t xml:space="preserve">ółem dla 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kosztów wykazana w kolumnie 6)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9 wpisać kwotę kosztów kwalifikowalnych, 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</w:t>
      </w:r>
      <w:r>
        <w:rPr>
          <w:rFonts w:eastAsia="Times New Roman"/>
          <w:sz w:val="20"/>
          <w:szCs w:val="20"/>
        </w:rPr>
        <w:t>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10 wpisać kwotę VAT (tylko liczby, z dokładnością do dwóch miejsc po przecinku, nie większe niż 23% kwoty wykazanej w kolumnie 9)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11 wpisać kwotę kosztów inwestycyjnych, ogółem dla danego etapu</w:t>
      </w:r>
      <w:r>
        <w:rPr>
          <w:rFonts w:eastAsia="Times New Roman"/>
          <w:sz w:val="20"/>
          <w:szCs w:val="20"/>
        </w:rPr>
        <w:t xml:space="preserve">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kosztów wykazana w kolumnie 9)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12 automatycznie obliczana jest wartość odchylenia kosztów kwalifikowalnych (zgodnie z algorytmem podanym w „Instru</w:t>
      </w:r>
      <w:r>
        <w:rPr>
          <w:rFonts w:eastAsia="Times New Roman"/>
          <w:sz w:val="20"/>
          <w:szCs w:val="20"/>
        </w:rPr>
        <w:t>kcji wypełniania…”) – pola w tej kolumnie nie są zablokowane, a formuły w nich zawarte nie są chronione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– zgodnie z „Instrukcją wypełniania…” – „…wpisać nr Partnera (zgodny z sekcją IV.A. pkt 1), który poniósł koszt w ramach danego zadania” (</w:t>
      </w:r>
      <w:r>
        <w:rPr>
          <w:rFonts w:eastAsia="Times New Roman"/>
          <w:sz w:val="20"/>
          <w:szCs w:val="20"/>
        </w:rPr>
        <w:t>tylko liczby całkowite)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poszczególnych grupach kosztów lub podsumowaniach dla poszczególnych Partnerów należy dodawać zgodnie z „mini-instrukcjami” opisanymi w ogólnych wskazówkach </w:t>
      </w:r>
      <w:hyperlink r:id="rId330" w:history="1">
        <w:r>
          <w:rPr>
            <w:rStyle w:val="Hipercze"/>
            <w:sz w:val="20"/>
            <w:szCs w:val="20"/>
          </w:rPr>
          <w:t>dodawania wiers</w:t>
        </w:r>
        <w:r>
          <w:rPr>
            <w:rStyle w:val="Hipercze"/>
            <w:sz w:val="20"/>
            <w:szCs w:val="20"/>
          </w:rPr>
          <w:t>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Jeżeli w sekcji I. Koszty kwalifikowalne określone w § 8 (…) potrzebne są dodatkowe grupy kosztów: D, E, itd. to arkusz VI_ZRF zawiera zdefiniowane (ukryte pomiędzy podsumowaniem grupy C. a podsumowaniem całej sekcji I) wiersze dla grup kosztów od D. d</w:t>
      </w:r>
      <w:r>
        <w:rPr>
          <w:sz w:val="20"/>
          <w:szCs w:val="20"/>
        </w:rPr>
        <w:t>o J. Aby z nich skorzystać należy zaznaczyć wiersze Suma C. i Suma I, a następnie z menu podręcznego wybrać opcję „Odkryj”. Następnie należy wypełnić wiersze dla odpowiednich grup kosztów, a nadmiarowe grupy ponownie ukryć, postępując analogicznie jak w pr</w:t>
      </w:r>
      <w:r>
        <w:rPr>
          <w:sz w:val="20"/>
          <w:szCs w:val="20"/>
        </w:rPr>
        <w:t xml:space="preserve">zykładzie podanym w </w:t>
      </w:r>
      <w:hyperlink r:id="rId331" w:history="1">
        <w:r>
          <w:rPr>
            <w:rStyle w:val="Hipercze"/>
            <w:sz w:val="20"/>
            <w:szCs w:val="20"/>
          </w:rPr>
          <w:t>części ogólne</w:t>
        </w:r>
        <w:bookmarkStart w:id="1117" w:name="_Hlt9857250"/>
        <w:bookmarkStart w:id="1118" w:name="_Hlt9857251"/>
        <w:r>
          <w:rPr>
            <w:rStyle w:val="Hipercze"/>
            <w:sz w:val="20"/>
            <w:szCs w:val="20"/>
          </w:rPr>
          <w:t>j</w:t>
        </w:r>
        <w:bookmarkEnd w:id="1117"/>
        <w:bookmarkEnd w:id="1118"/>
        <w:r>
          <w:rPr>
            <w:rStyle w:val="Hipercze"/>
            <w:sz w:val="20"/>
            <w:szCs w:val="20"/>
          </w:rPr>
          <w:t xml:space="preserve"> „Wskazówek”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19" w:name="_Toc9594640"/>
      <w:bookmarkStart w:id="1120" w:name="_Toc9866955"/>
      <w:bookmarkStart w:id="1121" w:name="_Toc9924659"/>
      <w:bookmarkStart w:id="1122" w:name="_Toc10015042"/>
      <w:bookmarkStart w:id="1123" w:name="_Toc10556817"/>
      <w:bookmarkStart w:id="1124" w:name="_Toc10640721"/>
      <w:bookmarkStart w:id="1125" w:name="_Toc10737248"/>
      <w:bookmarkStart w:id="1126" w:name="_Toc10792894"/>
      <w:bookmarkStart w:id="1127" w:name="_Toc10817382"/>
      <w:bookmarkStart w:id="1128" w:name="_Toc13481715"/>
      <w:bookmarkStart w:id="1129" w:name="_Toc13559401"/>
      <w:bookmarkStart w:id="1130" w:name="_Toc13651288"/>
      <w:bookmarkStart w:id="1131" w:name="_Toc14429256"/>
      <w:r>
        <w:t>V.A. WYKAZ FAKTUR LUB DOKUMENTÓW O RÓWNOWAŻNEJ WARTOŚCI (…) (arkusz VA_WF)</w:t>
      </w:r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</w:p>
    <w:p w:rsidR="00D814B8" w:rsidRDefault="0053412E">
      <w:pPr>
        <w:widowControl w:val="0"/>
        <w:spacing w:before="240" w:after="120"/>
        <w:rPr>
          <w:sz w:val="20"/>
          <w:szCs w:val="20"/>
        </w:rPr>
      </w:pPr>
      <w:r>
        <w:rPr>
          <w:sz w:val="20"/>
          <w:szCs w:val="20"/>
        </w:rPr>
        <w:t>Tabelę „Wykaz faktur…” można uzupełnić niezależnie lub w powiązaniu z „Zestawieniem rzeczowo-finansowym</w:t>
      </w:r>
      <w:r>
        <w:rPr>
          <w:sz w:val="20"/>
          <w:szCs w:val="20"/>
        </w:rPr>
        <w:t xml:space="preserve"> operacji”. Poniżej zaprezentowano „Wykaz”, wypełniony z wykorzystaniem części danych zawartych w ZRF.</w:t>
      </w:r>
    </w:p>
    <w:p w:rsidR="00D814B8" w:rsidRDefault="0053412E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484879" cy="3682983"/>
            <wp:effectExtent l="0" t="0" r="0" b="0"/>
            <wp:docPr id="59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6484879" cy="36829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WF – czyli wiersze od 1 do 4.</w:t>
      </w:r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 xml:space="preserve">W wierszach podsumowujących zablokowane są komórki w kolumnach 8-10 dla </w:t>
      </w:r>
      <w:r>
        <w:rPr>
          <w:sz w:val="20"/>
          <w:szCs w:val="20"/>
        </w:rPr>
        <w:t>wiersza „RAZEM:” oraz 8 i 9 dla wierszy podsumowujących wydatki dokonane przez poszczególnych Partnerów.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WF (czyli jak w wierszach od 1 do 11 w podanym przykładzie) należy: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Lp. wpisać (jeżeli brakuje) numer pozycji WF </w:t>
      </w:r>
      <w:r>
        <w:rPr>
          <w:rFonts w:eastAsia="Times New Roman"/>
          <w:sz w:val="20"/>
          <w:szCs w:val="20"/>
        </w:rPr>
        <w:t>(dowolny ciąg znaków – jednak z zachowaniem ciągłości i unikalności numeracji w ramach WF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wpisać numer dokumentu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 wpisać rodzaj dokumentu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w kolumnie 3 wpisać n</w:t>
      </w:r>
      <w:r>
        <w:rPr>
          <w:rFonts w:eastAsia="Times New Roman"/>
          <w:sz w:val="20"/>
          <w:szCs w:val="20"/>
        </w:rPr>
        <w:t>umer konta księgowego lub kodu rachunkowego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datę wystawienia dokumentu (data w formacie dd-mm-rrrr)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5 wpisać NIP wystawcy dokumentu (</w:t>
      </w:r>
      <w:r>
        <w:rPr>
          <w:sz w:val="20"/>
          <w:szCs w:val="20"/>
        </w:rPr>
        <w:t xml:space="preserve">liczba całkowita, </w:t>
      </w:r>
      <w:r>
        <w:rPr>
          <w:b/>
          <w:sz w:val="20"/>
          <w:szCs w:val="20"/>
        </w:rPr>
        <w:t>dziesięciocyfrowa</w:t>
      </w:r>
      <w:r>
        <w:rPr>
          <w:sz w:val="20"/>
          <w:szCs w:val="20"/>
        </w:rPr>
        <w:t>, większa od „0”); reguła poprawnoś</w:t>
      </w:r>
      <w:r>
        <w:rPr>
          <w:sz w:val="20"/>
          <w:szCs w:val="20"/>
        </w:rPr>
        <w:t>ci oraz maska wprowadzenia „pilnują” odpowiedniej długości ciągu znaków – analogicznie jak w przypadku NIP-ów Partnerów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6 wpisać nazwę wystawcy dokumentu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pozycję na dokumencie lub nazwę towaru/usługi (do</w:t>
      </w:r>
      <w:r>
        <w:rPr>
          <w:rFonts w:eastAsia="Times New Roman"/>
          <w:sz w:val="20"/>
          <w:szCs w:val="20"/>
        </w:rPr>
        <w:t>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8 wpisać pozycję w ZRF (dowolny ciąg znaków); jeżeli numer pozycji będzie zgodny z numerem w ZRF zostaną automatycznie wypełnione komórki w kolumnach 12 i 13 (na podstawie wartości „zgodnego” wiersza z ZRF, odpowiednio z kolum</w:t>
      </w:r>
      <w:r>
        <w:rPr>
          <w:rFonts w:eastAsia="Times New Roman"/>
          <w:sz w:val="20"/>
          <w:szCs w:val="20"/>
        </w:rPr>
        <w:t>n 9 i 10)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9 wpisać datę zapłaty (data w formacie dd-mm-rrrr)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10: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powyżej wiersza „RAZEM” wybrać wartość z listy (tylko wartości z listy wyboru)</w:t>
      </w:r>
    </w:p>
    <w:p w:rsidR="00D814B8" w:rsidRDefault="0053412E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wiersza „RAZEM” należy wpisać nr Partnera, dla którego formuła dokona podsumowania</w:t>
      </w:r>
      <w:r>
        <w:rPr>
          <w:rFonts w:eastAsia="Times New Roman"/>
          <w:sz w:val="20"/>
          <w:szCs w:val="20"/>
        </w:rPr>
        <w:t xml:space="preserve"> (z pól w kolumnach 11, 12 i 13) wszystkich dokumentów przypisanych (w kolumnie 14 „Wykazu”) danemu Partnerowi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11 wpisać kwotę wydatków całkowitych (tylko liczby, z dokładnością do dwóch miejsc po przecinku)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12 wpisać kwotę wydatków k</w:t>
      </w:r>
      <w:r>
        <w:rPr>
          <w:rFonts w:eastAsia="Times New Roman"/>
          <w:sz w:val="20"/>
          <w:szCs w:val="20"/>
        </w:rPr>
        <w:t>walifikowalnych (tylko liczby, z dokładnością do dwóch miejsc po przecinku, nie większe niż wartości podane w kolumnie 11)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wpisać kwotę VAT (tylko liczby, z dokładnością do dwóch miejsc po przecinku, nie większe niż 23% kwoty wykazanej w kolu</w:t>
      </w:r>
      <w:r>
        <w:rPr>
          <w:rFonts w:eastAsia="Times New Roman"/>
          <w:sz w:val="20"/>
          <w:szCs w:val="20"/>
        </w:rPr>
        <w:t>mnie 12)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14 należy wpisać numer Partnera, z którego konta/”portfela” dokonano danego wydatku</w:t>
      </w:r>
    </w:p>
    <w:p w:rsidR="00D814B8" w:rsidRDefault="0053412E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Jeżeli numer pozycji (w kolumnie 8) będzie zgodny z numerem w ZRF (w kolumnie 1) zostaną automatycznie wypełnione komórki w kolumnach 12 i 13 WF (na </w:t>
      </w:r>
      <w:r>
        <w:rPr>
          <w:rFonts w:eastAsia="Times New Roman"/>
          <w:sz w:val="20"/>
          <w:szCs w:val="20"/>
        </w:rPr>
        <w:t>podstawie wartości „zgodnych” wierszy) odpowiednio do wartości z kolumn 9 i 10 ZRF. W przeciwnym wypadku w kolumnach 12 i 13 będą wyświetlane wartości „#N/D!” – oznacza to, że formuła nie odnalazła pasujących danych (jak na przykładzie poniżej).</w:t>
      </w:r>
    </w:p>
    <w:p w:rsidR="00D814B8" w:rsidRDefault="0053412E">
      <w:pPr>
        <w:widowControl w:val="0"/>
        <w:spacing w:after="0"/>
        <w:jc w:val="both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6645914" cy="3774442"/>
            <wp:effectExtent l="0" t="0" r="2536" b="0"/>
            <wp:docPr id="60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774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Czerwony</w:t>
      </w:r>
      <w:r>
        <w:rPr>
          <w:rFonts w:eastAsia="Times New Roman"/>
          <w:sz w:val="20"/>
          <w:szCs w:val="20"/>
        </w:rPr>
        <w:t>m kolorem oznaczono przypadki braku zgodności pomiędzy wartościami z pól w kolumnie 8 WF i kolumnie 1 ZRF. Nieprawidłowy wynik (brak wyniku) w podsumowaniu (oznaczony kolorem żółtym) jest konsekwencją braku danych (#N/D!) w wierszach powyżej.</w:t>
      </w:r>
    </w:p>
    <w:p w:rsidR="00D814B8" w:rsidRDefault="0053412E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</w:t>
      </w:r>
      <w:r>
        <w:rPr>
          <w:rFonts w:eastAsia="Times New Roman"/>
          <w:sz w:val="20"/>
          <w:szCs w:val="20"/>
        </w:rPr>
        <w:t>iersza 11 (Lp. 7 na WF) należy policzyć sumę odpowiednich wartości z wierszy/pozycji C.1 i C.2 ZRF i wpisać ją do komórek w kolumnach 12 i 13 WF – można to zrobić „ręcznie” lub modyfikując odpowiednio formułę (np. zamieniając istniejącą „=WYSZUKAJ.PIONOWO(</w:t>
      </w:r>
      <w:r>
        <w:rPr>
          <w:rFonts w:eastAsia="Times New Roman"/>
          <w:sz w:val="20"/>
          <w:szCs w:val="20"/>
        </w:rPr>
        <w:t>…)” na „=SUMA(…)”). W pozostałych wierszach (od 16 do 21) należy usunąć formuły we wskazanych komórkach w kolumnach 12 i 13 (zaznaczając cały „niechciany” zakres komórek i wciskając klawisz [Del] albo [Delete], w zależności od posiadanej klawiatury). Efekt</w:t>
      </w:r>
      <w:r>
        <w:rPr>
          <w:rFonts w:eastAsia="Times New Roman"/>
          <w:sz w:val="20"/>
          <w:szCs w:val="20"/>
        </w:rPr>
        <w:t>em powinno być uzyskanie kompletnego (wolnego od #N/D!) „Wykazu faktur…” z poprawnymi wierszami podsumowań.</w:t>
      </w:r>
    </w:p>
    <w:p w:rsidR="00D814B8" w:rsidRDefault="0053412E">
      <w:pPr>
        <w:widowControl w:val="0"/>
        <w:spacing w:after="0"/>
        <w:jc w:val="both"/>
      </w:pPr>
      <w:r>
        <w:rPr>
          <w:rFonts w:eastAsia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645914" cy="3814447"/>
            <wp:effectExtent l="0" t="0" r="2536" b="0"/>
            <wp:docPr id="61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81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„Wykazie faktur…” lub podsumowaniach dla poszczególnych Partnerów należy dodawać zgodnie z „mini-instrukcjami” </w:t>
      </w:r>
      <w:r>
        <w:rPr>
          <w:sz w:val="20"/>
          <w:szCs w:val="20"/>
        </w:rPr>
        <w:t xml:space="preserve">opisanymi w ogólnych wskazówkach </w:t>
      </w:r>
      <w:hyperlink r:id="rId335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32" w:name="_Toc9866956"/>
      <w:bookmarkStart w:id="1133" w:name="_Toc9924660"/>
      <w:bookmarkStart w:id="1134" w:name="_Toc10015043"/>
      <w:bookmarkStart w:id="1135" w:name="_Toc10556818"/>
      <w:bookmarkStart w:id="1136" w:name="_Toc10640722"/>
      <w:bookmarkStart w:id="1137" w:name="_Toc10737249"/>
      <w:bookmarkStart w:id="1138" w:name="_Toc10792895"/>
      <w:bookmarkStart w:id="1139" w:name="_Toc10817383"/>
      <w:bookmarkStart w:id="1140" w:name="_Toc13481716"/>
      <w:bookmarkStart w:id="1141" w:name="_Toc13559402"/>
      <w:bookmarkStart w:id="1142" w:name="_Toc13651289"/>
      <w:bookmarkStart w:id="1143" w:name="_Toc14429257"/>
      <w:r>
        <w:t>V. SUMA Z WYKAZU FAKTUR (…) po prawidłowym wypełnieniu ZRF i WF</w:t>
      </w:r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Jak wspomniano wyżej, wszystkie pola w tabeli „Sumy z wykazu…” zaciągają dane automatycznie z podsumowania w tab</w:t>
      </w:r>
      <w:r>
        <w:rPr>
          <w:sz w:val="20"/>
          <w:szCs w:val="20"/>
        </w:rPr>
        <w:t>eli V.A. Wykaz faktur lub dokumentów (…):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przed wypełnieniem ZRF i WF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557012" cy="1375038"/>
            <wp:effectExtent l="0" t="0" r="0" b="0"/>
            <wp:docPr id="62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012" cy="13750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 wypełnieniu ZRF i WF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581683" cy="1392274"/>
            <wp:effectExtent l="0" t="0" r="9367" b="0"/>
            <wp:docPr id="63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683" cy="13922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D814B8">
      <w:pPr>
        <w:suppressAutoHyphens w:val="0"/>
      </w:pPr>
      <w:bookmarkStart w:id="1144" w:name="_Toc9594642"/>
      <w:bookmarkStart w:id="1145" w:name="_Toc9866957"/>
      <w:bookmarkStart w:id="1146" w:name="_Toc9924661"/>
      <w:bookmarkStart w:id="1147" w:name="_Toc10015044"/>
      <w:bookmarkStart w:id="1148" w:name="_Toc10556819"/>
      <w:bookmarkStart w:id="1149" w:name="_Toc10640723"/>
      <w:bookmarkStart w:id="1150" w:name="_Toc10737250"/>
    </w:p>
    <w:p w:rsidR="00D814B8" w:rsidRDefault="0053412E">
      <w:pPr>
        <w:pStyle w:val="Nagwek4"/>
        <w:keepNext w:val="0"/>
        <w:keepLines w:val="0"/>
        <w:pageBreakBefore/>
        <w:widowControl w:val="0"/>
        <w:spacing w:before="240"/>
      </w:pPr>
      <w:bookmarkStart w:id="1151" w:name="_Toc10792896"/>
      <w:bookmarkStart w:id="1152" w:name="_Toc10817384"/>
      <w:bookmarkStart w:id="1153" w:name="_Toc13481717"/>
      <w:bookmarkStart w:id="1154" w:name="_Toc13559403"/>
      <w:bookmarkStart w:id="1155" w:name="_Toc13651290"/>
      <w:bookmarkStart w:id="1156" w:name="_Toc14429258"/>
      <w:r>
        <w:lastRenderedPageBreak/>
        <w:t>VII. WARTOŚĆ WSKAŹNIKÓW, KTÓRE ZOSTAŁY OSIĄGNIĘTE W WYNIKU (…) (arkusz VII_Wskazn)</w:t>
      </w:r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 Wskaźniki obowiązkowe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wszystkie pola w kolumna</w:t>
      </w:r>
      <w:r>
        <w:rPr>
          <w:sz w:val="20"/>
          <w:szCs w:val="20"/>
        </w:rPr>
        <w:t>ch „L.p.”, „Wskaźnik”, „Dezagregacja” i „Jednostka miary wskaźnika”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„Nr Partnera realizującego wskaźnik” należy wpisać numery wszystkich (i tylko tych) Partnerów, którzy (z)realizowali dany wskaźnik – np. „1, 2, 4, 7” (dowolny ciąg znaków)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</w:t>
      </w:r>
      <w:r>
        <w:rPr>
          <w:sz w:val="20"/>
          <w:szCs w:val="20"/>
        </w:rPr>
        <w:t>kolumnach „Docelowa wartość wskaźnika zgodnie z umową” oraz „Wartość wskaźnika osiągnięta w wyniku realizacji operacji” należy odpowiednio wprowadzić wartości wskaźników… zgodnie z umową i osiągnięte (tylko liczby całkowite, większe od „0”, z wyjątkiem wie</w:t>
      </w:r>
      <w:r>
        <w:rPr>
          <w:sz w:val="20"/>
          <w:szCs w:val="20"/>
        </w:rPr>
        <w:t>rsza „6. Długość wybudowanych lub przebudowanych ścieżek rowerowych i szlaków turystycznych” gdzie można wprowadzić liczby większe od „0”, z dokładnością do dwóch miejsc po przecinku).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kolumnie „Sposób pomiaru wskaźnika” należy – zgodnie z „Instrukcją wy</w:t>
      </w:r>
      <w:r>
        <w:rPr>
          <w:sz w:val="20"/>
          <w:szCs w:val="20"/>
        </w:rPr>
        <w:t>pełniania…” – „…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był mierzony / badany w trakcie realizacji operacji oraz w jaki sposób wskaźnik wpłynął na realizację celów operacji” (dowolny ciąg znaków).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tabeli „Wskaźników obowiązkowycyh” nie można (nie należy) d</w:t>
      </w:r>
      <w:r>
        <w:rPr>
          <w:rFonts w:eastAsia="Times New Roman"/>
          <w:color w:val="000000"/>
          <w:sz w:val="20"/>
          <w:szCs w:val="20"/>
          <w:lang w:eastAsia="ja-JP"/>
        </w:rPr>
        <w:t>odawać nowych wierszy.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VII.2 Pozostałe wskaźniki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pola tabeli – poza wierszem nagłówka – są odblokowane i należy je wypełnić: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bookmarkStart w:id="1157" w:name="_Toc9594643"/>
      <w:bookmarkStart w:id="1158" w:name="_Toc9866958"/>
      <w:bookmarkStart w:id="1159" w:name="_Toc9924662"/>
      <w:r>
        <w:rPr>
          <w:rFonts w:eastAsia="Times New Roman"/>
          <w:sz w:val="20"/>
          <w:szCs w:val="20"/>
        </w:rPr>
        <w:t>w kolumnie L.p. wpisując (jeżeli brakuje) numer kolejny (dowolny ciąg znaków – jednak z zachowaniem ciągłości i un</w:t>
      </w:r>
      <w:r>
        <w:rPr>
          <w:rFonts w:eastAsia="Times New Roman"/>
          <w:sz w:val="20"/>
          <w:szCs w:val="20"/>
        </w:rPr>
        <w:t>ikalności numeracji /po kolei i bez powtórzeń/)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</w:t>
      </w:r>
      <w:r>
        <w:rPr>
          <w:sz w:val="20"/>
          <w:szCs w:val="20"/>
        </w:rPr>
        <w:t xml:space="preserve">„Partner / Partnerzy realizujący zadanie / grupę zadań (nr LGD)” </w:t>
      </w:r>
      <w:r>
        <w:rPr>
          <w:rFonts w:eastAsia="Times New Roman"/>
          <w:sz w:val="20"/>
          <w:szCs w:val="20"/>
        </w:rPr>
        <w:t xml:space="preserve">wpisując </w:t>
      </w:r>
      <w:r>
        <w:rPr>
          <w:sz w:val="20"/>
          <w:szCs w:val="20"/>
        </w:rPr>
        <w:t xml:space="preserve">numery wszystkich (i tylko tych) Partnerów, którzy </w:t>
      </w:r>
      <w:r>
        <w:rPr>
          <w:sz w:val="20"/>
          <w:szCs w:val="20"/>
        </w:rPr>
        <w:t>(z)realizowali dany wskaźnik – np. „1, 2, 4, 7” (dowolny ciąg znaków)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„Docelowa wartość wskaźnika zgodnie z umową” wpisując </w:t>
      </w:r>
      <w:r>
        <w:rPr>
          <w:sz w:val="20"/>
          <w:szCs w:val="20"/>
        </w:rPr>
        <w:t xml:space="preserve">wartości wskaźników… zgodnie z umową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</w:t>
      </w:r>
      <w:r>
        <w:rPr>
          <w:rFonts w:eastAsia="Times New Roman"/>
          <w:sz w:val="20"/>
          <w:szCs w:val="20"/>
        </w:rPr>
        <w:t>nostka miary wskaźnika” wpisując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„Wartość wskaźnika osiągnięta w wyniku realizacji operacji” wpisując osiągnięte </w:t>
      </w:r>
      <w:r>
        <w:rPr>
          <w:sz w:val="20"/>
          <w:szCs w:val="20"/>
        </w:rPr>
        <w:t>wartości wska</w:t>
      </w:r>
      <w:r>
        <w:rPr>
          <w:sz w:val="20"/>
          <w:szCs w:val="20"/>
        </w:rPr>
        <w:t xml:space="preserve">źników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 xml:space="preserve">Sposób pomiaru wskaźnika”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wskaźnik był mierzony / badany w trakcie realizacji operacji oraz w jaki sposób wskaźnik wpłynął na realizację celów op</w:t>
      </w:r>
      <w:r>
        <w:rPr>
          <w:rFonts w:eastAsia="Times New Roman"/>
          <w:color w:val="000000"/>
          <w:sz w:val="20"/>
          <w:szCs w:val="20"/>
          <w:lang w:eastAsia="ja-JP"/>
        </w:rPr>
        <w:t>eracji (dowolny ciąg znaków)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338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„VII.3 Operacja zakłada…”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 wybrać wartość z rozwijalnej lis</w:t>
      </w:r>
      <w:r>
        <w:rPr>
          <w:sz w:val="20"/>
          <w:szCs w:val="20"/>
        </w:rPr>
        <w:t>ty wyboru.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60" w:name="_Toc10015045"/>
      <w:bookmarkStart w:id="1161" w:name="_Toc10556820"/>
      <w:bookmarkStart w:id="1162" w:name="_Toc10640724"/>
      <w:bookmarkStart w:id="1163" w:name="_Toc10737251"/>
      <w:bookmarkStart w:id="1164" w:name="_Toc10792897"/>
      <w:bookmarkStart w:id="1165" w:name="_Toc10817385"/>
      <w:bookmarkStart w:id="1166" w:name="_Toc13481718"/>
      <w:bookmarkStart w:id="1167" w:name="_Toc13559404"/>
      <w:bookmarkStart w:id="1168" w:name="_Toc13651291"/>
      <w:bookmarkStart w:id="1169" w:name="_Toc14429259"/>
      <w:r>
        <w:t>VIII. INFORMACJA O ZAŁĄCZNIKACH (arkusz VIII_Info_Zalacz)</w:t>
      </w:r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wierszu „Wniosek w postaci dokumentu elektronicznego, zapisanego na informatycznym nośniku danych” należy wybrać z listy odpowiedź „TAK” albo „NIE”.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tabeli załączników szystkie komórk</w:t>
      </w:r>
      <w:r>
        <w:rPr>
          <w:sz w:val="20"/>
          <w:szCs w:val="20"/>
        </w:rPr>
        <w:t>i w kolumnach „Lp.” i „Nazwa załącznika” – od wiersza 3 (z tytułem części A tabeli) do wiersza 32 (Lp. 24 w części A) oraz wiersze 35 (z tytułem części B tabeli) i 36 (Lp. 1 w części B) – są zablokowane.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wybrać z listy odpowiedni</w:t>
      </w:r>
      <w:r>
        <w:rPr>
          <w:sz w:val="20"/>
          <w:szCs w:val="20"/>
        </w:rPr>
        <w:t>ą wartość – inną niż „(wybierz z listy)”: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D814B8" w:rsidRDefault="0053412E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„TAK” w kolumnie „Liczba” (w tym samym wierszu) pojawi się tekst „Wpisz liczbę z</w:t>
      </w:r>
      <w:r>
        <w:rPr>
          <w:rFonts w:eastAsia="Times New Roman"/>
          <w:sz w:val="20"/>
          <w:szCs w:val="20"/>
        </w:rPr>
        <w:t>ałączników”, przypominający o konieczności podania liczby załączanych dokumentów danego rodzaju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 xml:space="preserve">W wierszach A.24.a, A.24.b (a także kolejnych, dodanych w tej części) oraz w wierszu B.1 (i kolejnych, dodanych) wprowadzenie wartości (dowolnego ciągu znaków) </w:t>
      </w:r>
      <w:r>
        <w:rPr>
          <w:sz w:val="20"/>
          <w:szCs w:val="20"/>
        </w:rPr>
        <w:t xml:space="preserve">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 kolumnie „Liczba”.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lastRenderedPageBreak/>
        <w:t xml:space="preserve">Uwaga! </w:t>
      </w:r>
      <w:r>
        <w:rPr>
          <w:rFonts w:eastAsia="Times New Roman"/>
          <w:sz w:val="20"/>
          <w:szCs w:val="20"/>
        </w:rPr>
        <w:t>Formuły, które uzupełniają wartości w kolumnie „Liczba” na podstawie wartości wybranej w kolumnie „TAK/ND” są jednorazo</w:t>
      </w:r>
      <w:r>
        <w:rPr>
          <w:rFonts w:eastAsia="Times New Roman"/>
          <w:sz w:val="20"/>
          <w:szCs w:val="20"/>
        </w:rPr>
        <w:t xml:space="preserve">we – tzn. nie są zabezpieczone. Jeżeli w kolumnie „TAK/ND” wybrana zostanie wartość „TAK’ i w kolumnie „Liczba” komunikat „Wpisz liczbę załączników” zastąpiony zostanie liczbą, to dokonanie wyboru innej wartości – w tym samym wierszu – w kolumnie „TAK/ND” </w:t>
      </w:r>
      <w:r>
        <w:rPr>
          <w:rFonts w:eastAsia="Times New Roman"/>
          <w:sz w:val="20"/>
          <w:szCs w:val="20"/>
        </w:rPr>
        <w:t>(np. wprowadzono wartość w niewłaściwym wierszu) nie spowoduje już żadnych zmian w kolumnie „Liczba” – w tym samym wierszu – ewentualną korektę trzeba wykonać „ręcznie”.</w:t>
      </w:r>
    </w:p>
    <w:p w:rsidR="00D814B8" w:rsidRDefault="0053412E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pokazano wyniki działania formuł powiązanych z wartościami wprowadzanymi w kom</w:t>
      </w:r>
      <w:r>
        <w:rPr>
          <w:rFonts w:eastAsia="Times New Roman"/>
          <w:sz w:val="20"/>
          <w:szCs w:val="20"/>
        </w:rPr>
        <w:t>órkach w kolumnie „TAK/ND” oraz w „edytowalnych” wierszach w kolumnie „Nazwa załącznika”:</w:t>
      </w:r>
    </w:p>
    <w:p w:rsidR="00D814B8" w:rsidRDefault="0053412E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„Liczba”</w:t>
      </w:r>
    </w:p>
    <w:p w:rsidR="00D814B8" w:rsidRDefault="0053412E">
      <w:pPr>
        <w:widowControl w:val="0"/>
        <w:spacing w:after="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5717633" cy="4346865"/>
            <wp:effectExtent l="0" t="0" r="0" b="0"/>
            <wp:docPr id="64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717633" cy="4346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12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oraz po uzupełnieniu wartości w kolumnie „Liczba”</w:t>
      </w:r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750250" cy="2875120"/>
            <wp:effectExtent l="0" t="0" r="2850" b="1430"/>
            <wp:docPr id="65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750250" cy="287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</w:t>
      </w:r>
      <w:r>
        <w:rPr>
          <w:sz w:val="20"/>
          <w:szCs w:val="20"/>
        </w:rPr>
        <w:t xml:space="preserve">należy dodawać zgodnie z „mini-instrukcjami”, opisanymi w ogólnych wskazówkach </w:t>
      </w:r>
      <w:hyperlink r:id="rId339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70" w:name="_Toc9594644"/>
      <w:bookmarkStart w:id="1171" w:name="_Toc9866959"/>
      <w:bookmarkStart w:id="1172" w:name="_Toc9924663"/>
      <w:bookmarkStart w:id="1173" w:name="_Toc10015046"/>
      <w:bookmarkStart w:id="1174" w:name="_Toc10556821"/>
      <w:bookmarkStart w:id="1175" w:name="_Toc10640725"/>
      <w:bookmarkStart w:id="1176" w:name="_Toc10737252"/>
      <w:bookmarkStart w:id="1177" w:name="_Toc10792898"/>
      <w:bookmarkStart w:id="1178" w:name="_Toc10817386"/>
      <w:bookmarkStart w:id="1179" w:name="_Toc13481719"/>
      <w:bookmarkStart w:id="1180" w:name="_Toc13559405"/>
      <w:bookmarkStart w:id="1181" w:name="_Toc13651292"/>
      <w:bookmarkStart w:id="1182" w:name="_Toc14429260"/>
      <w:r>
        <w:lastRenderedPageBreak/>
        <w:t>IX. OŚWIADCZENIA BENEFICJENTA (arkusz IX_Osw_Beneficj)</w:t>
      </w:r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dostępne jest tylko jedno pole, w którym należy (można) wpisa</w:t>
      </w:r>
      <w:r>
        <w:rPr>
          <w:sz w:val="20"/>
          <w:szCs w:val="20"/>
        </w:rPr>
        <w:t>ć miejscowość (miejsce) oraz datę podpisania oświadczenia (dowolny ciąg znaków).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83" w:name="_Toc9594645"/>
      <w:bookmarkStart w:id="1184" w:name="_Toc9866960"/>
      <w:bookmarkStart w:id="1185" w:name="_Toc9924664"/>
      <w:bookmarkStart w:id="1186" w:name="_Toc10015047"/>
      <w:bookmarkStart w:id="1187" w:name="_Toc10556822"/>
      <w:bookmarkStart w:id="1188" w:name="_Toc10640726"/>
      <w:bookmarkStart w:id="1189" w:name="_Toc10737253"/>
      <w:bookmarkStart w:id="1190" w:name="_Toc10792899"/>
      <w:bookmarkStart w:id="1191" w:name="_Toc10817387"/>
      <w:bookmarkStart w:id="1192" w:name="_Toc13481720"/>
      <w:bookmarkStart w:id="1193" w:name="_Toc13559406"/>
      <w:bookmarkStart w:id="1194" w:name="_Toc13651293"/>
      <w:bookmarkStart w:id="1195" w:name="_Toc14429261"/>
      <w:r>
        <w:t>Załącznik nr VIII. A.15 Oświadczenie LGD realizujących zadania w (…) (arkusz Zal_VIII_A15)</w:t>
      </w:r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Wartości do </w:t>
      </w:r>
      <w:r>
        <w:rPr>
          <w:sz w:val="20"/>
          <w:szCs w:val="20"/>
        </w:rPr>
        <w:t xml:space="preserve">pól „Nazwa LGD” oraz „Nr umowy” zaciągane są automatycznie z odpowiednich komórek w części II i III wniosku. Pola te nie są zablokowane – można zastąpić „automatyczną” wartość dowolnymi danymi wpisanymi samodzielnie. 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należy wypełnić „ręczni</w:t>
      </w:r>
      <w:r>
        <w:rPr>
          <w:sz w:val="20"/>
          <w:szCs w:val="20"/>
        </w:rPr>
        <w:t>e” – zgodnie ze stanem faktycznym.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kont księgowych Beneficjenta należy dodawać zgodnie z „mini-instrukcjami” opisanymi w ogólnych wskazówkach </w:t>
      </w:r>
      <w:hyperlink r:id="rId34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196" w:name="_Toc9594646"/>
      <w:bookmarkStart w:id="1197" w:name="_Toc9866961"/>
      <w:bookmarkStart w:id="1198" w:name="_Toc9924665"/>
      <w:bookmarkStart w:id="1199" w:name="_Toc10015048"/>
      <w:bookmarkStart w:id="1200" w:name="_Toc10556823"/>
      <w:bookmarkStart w:id="1201" w:name="_Toc10640727"/>
      <w:bookmarkStart w:id="1202" w:name="_Toc10737254"/>
      <w:bookmarkStart w:id="1203" w:name="_Toc10792900"/>
      <w:bookmarkStart w:id="1204" w:name="_Toc10817388"/>
      <w:bookmarkStart w:id="1205" w:name="_Toc13481721"/>
      <w:bookmarkStart w:id="1206" w:name="_Toc13559407"/>
      <w:bookmarkStart w:id="1207" w:name="_Toc13651294"/>
      <w:bookmarkStart w:id="1208" w:name="_Toc14429262"/>
      <w:r>
        <w:t>Załącznik nr VIII. A.16 KART</w:t>
      </w:r>
      <w:r>
        <w:t>A ROZLICZENIA ZADANIA W ZAKRESIE (…) (arkusz Zal_VIII_A16)</w:t>
      </w:r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 wielokrotnego powielenia) dostępna jest w pliku WoP_19_3_2z_ark_wpolwn.xlsx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Każde zadanie powinno być opisane w odrębnej „Karcie”.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Pole „czytelne podpisy osób…” jest </w:t>
      </w:r>
      <w:r>
        <w:rPr>
          <w:sz w:val="20"/>
          <w:szCs w:val="20"/>
        </w:rPr>
        <w:t>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polach od 1 do 7 (oprócz pola 4) można wpisać dowolny ciąg znaków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4 można wpisać tylko liczbę, większą lub równą „0”, z dokładnością do dwóch miejsc po przecinku.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polach powiązanych z polem „8. Dokumenty potw</w:t>
      </w:r>
      <w:r>
        <w:rPr>
          <w:sz w:val="20"/>
          <w:szCs w:val="20"/>
        </w:rPr>
        <w:t>ierdzające realizację” należy w kolumnie po lewej stronie oznaczyć za pomocą „X” rodzaj dokumentów posiadanych przez LGD, potwierdzających realizację zadania. W przypadku wiersza „materiały szkoleniowe” można je opisać (w dodatkowym polu po prawej stronie)</w:t>
      </w:r>
      <w:r>
        <w:rPr>
          <w:sz w:val="20"/>
          <w:szCs w:val="20"/>
        </w:rPr>
        <w:t>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„Dokumentów…” należy dodawać zgodnie z „mini-instrukcjami” opisanymi w ogólnych wskazówkach </w:t>
      </w:r>
      <w:hyperlink r:id="rId34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209" w:name="_Toc9594647"/>
      <w:bookmarkStart w:id="1210" w:name="_Toc9866962"/>
      <w:bookmarkStart w:id="1211" w:name="_Toc9924666"/>
      <w:bookmarkStart w:id="1212" w:name="_Toc10015049"/>
      <w:bookmarkStart w:id="1213" w:name="_Toc10556824"/>
      <w:bookmarkStart w:id="1214" w:name="_Toc10640728"/>
      <w:bookmarkStart w:id="1215" w:name="_Toc10737255"/>
      <w:bookmarkStart w:id="1216" w:name="_Toc10792901"/>
      <w:bookmarkStart w:id="1217" w:name="_Toc10817389"/>
      <w:bookmarkStart w:id="1218" w:name="_Toc13481722"/>
      <w:bookmarkStart w:id="1219" w:name="_Toc13559408"/>
      <w:bookmarkStart w:id="1220" w:name="_Toc13651295"/>
      <w:bookmarkStart w:id="1221" w:name="_Toc14429263"/>
      <w:r>
        <w:t>Załącznik nr VIII. A.17 LISTA OBECNOŚCI NA (…) (arkusz Zal_VIII_A17)</w:t>
      </w:r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</w:p>
    <w:p w:rsidR="00D814B8" w:rsidRDefault="0053412E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</w:t>
      </w:r>
      <w:r>
        <w:rPr>
          <w:sz w:val="20"/>
          <w:szCs w:val="20"/>
        </w:rPr>
        <w:t>o arkusza (do wielokrotnego powielenia) dostępna jest w pliku WoP_19_3_2z_ark_wpolwn.xlsx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oraz pola w kolumnach „Ocena szkolenia…” i „Podpis uczestnika” są zablokowane i niedostępne do edycji.</w:t>
      </w:r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„Li</w:t>
      </w:r>
      <w:r>
        <w:rPr>
          <w:sz w:val="20"/>
          <w:szCs w:val="20"/>
        </w:rPr>
        <w:t xml:space="preserve">sty obecności…” należy dodawać zgodnie z „mini-instrukcjami” opisanymi w ogólnych wskazówkach </w:t>
      </w:r>
      <w:hyperlink r:id="rId342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222" w:name="_Toc9594648"/>
      <w:bookmarkStart w:id="1223" w:name="_Toc9866963"/>
      <w:bookmarkStart w:id="1224" w:name="_Toc9924667"/>
      <w:bookmarkStart w:id="1225" w:name="_Toc10015050"/>
      <w:bookmarkStart w:id="1226" w:name="_Toc10556825"/>
      <w:bookmarkStart w:id="1227" w:name="_Toc10640729"/>
      <w:bookmarkStart w:id="1228" w:name="_Toc10737256"/>
      <w:bookmarkStart w:id="1229" w:name="_Toc10792902"/>
      <w:bookmarkStart w:id="1230" w:name="_Toc10817390"/>
      <w:bookmarkStart w:id="1231" w:name="_Toc13481723"/>
      <w:bookmarkStart w:id="1232" w:name="_Toc13559409"/>
      <w:bookmarkStart w:id="1233" w:name="_Toc13651296"/>
      <w:bookmarkStart w:id="1234" w:name="_Toc14429264"/>
      <w:r>
        <w:t>Załącznik nr VIII. A.20 OPIS PROJEKTU WSPÓŁPRACY (arkusz Zal_VIII_A20_Opis_Projektu)</w:t>
      </w:r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</w:t>
      </w:r>
      <w:r>
        <w:rPr>
          <w:sz w:val="20"/>
          <w:szCs w:val="20"/>
        </w:rPr>
        <w:t xml:space="preserve">w tabeli „8. Zadania objęte projektem współpracy, w tym…” należy dodawać zgodnie z „mini-instrukcjami” opisanymi w ogólnych wskazówkach </w:t>
      </w:r>
      <w:hyperlink r:id="rId343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D814B8" w:rsidRDefault="0053412E">
      <w:pPr>
        <w:pStyle w:val="Nagwek4"/>
        <w:keepNext w:val="0"/>
        <w:keepLines w:val="0"/>
        <w:widowControl w:val="0"/>
        <w:spacing w:before="240"/>
      </w:pPr>
      <w:bookmarkStart w:id="1235" w:name="_Toc9594649"/>
      <w:bookmarkStart w:id="1236" w:name="_Toc9866964"/>
      <w:bookmarkStart w:id="1237" w:name="_Toc9924668"/>
      <w:bookmarkStart w:id="1238" w:name="_Toc10015051"/>
      <w:bookmarkStart w:id="1239" w:name="_Toc10556826"/>
      <w:bookmarkStart w:id="1240" w:name="_Toc10640730"/>
      <w:bookmarkStart w:id="1241" w:name="_Toc10737257"/>
      <w:bookmarkStart w:id="1242" w:name="_Toc10792903"/>
      <w:bookmarkStart w:id="1243" w:name="_Toc10817391"/>
      <w:bookmarkStart w:id="1244" w:name="_Toc13481724"/>
      <w:bookmarkStart w:id="1245" w:name="_Toc13559410"/>
      <w:bookmarkStart w:id="1246" w:name="_Toc13651297"/>
      <w:bookmarkStart w:id="1247" w:name="_Toc14429265"/>
      <w:r>
        <w:t>Załącznik nr VIII.B.1 Informacje dotyczące przetwarzania (…) (arkusz Zal_</w:t>
      </w:r>
      <w:r>
        <w:t>VIII_B1_RODO)</w:t>
      </w:r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</w:p>
    <w:p w:rsidR="00D814B8" w:rsidRDefault="0053412E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można wprowadzać dane w polach „wykropkowanych” (z wyjątkiem pola „czytelny pospis osoby…”, które jest zablokowane).</w:t>
      </w:r>
    </w:p>
    <w:p w:rsidR="00D814B8" w:rsidRDefault="0053412E">
      <w:pPr>
        <w:spacing w:before="240"/>
        <w:jc w:val="both"/>
      </w:pPr>
      <w:bookmarkStart w:id="1248" w:name="_Toc9422442"/>
      <w:bookmarkStart w:id="1249" w:name="_Toc9505056"/>
      <w:bookmarkStart w:id="1250" w:name="_Toc9594650"/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Samorząd Województwa – prze</w:t>
      </w:r>
      <w:r>
        <w:rPr>
          <w:sz w:val="20"/>
          <w:szCs w:val="20"/>
        </w:rPr>
        <w:t>d opublikowaniem formularzy wniosku o płatność na swojej stronie internetowej – może uzupełnić część danych i zablokować te pola w celu zmniejszenia ryzyka popełnienia błędu podczas ich wielokrotnego, „ręcznego” wypełniania przy każdym składanym WoP.</w:t>
      </w:r>
    </w:p>
    <w:p w:rsidR="00D814B8" w:rsidRDefault="00D814B8">
      <w:pPr>
        <w:rPr>
          <w:sz w:val="20"/>
          <w:szCs w:val="20"/>
        </w:rPr>
      </w:pPr>
      <w:bookmarkStart w:id="1251" w:name="_Toc9866965"/>
      <w:bookmarkStart w:id="1252" w:name="_Toc9924669"/>
      <w:bookmarkStart w:id="1253" w:name="_Toc10015052"/>
      <w:bookmarkStart w:id="1254" w:name="_Toc10556827"/>
    </w:p>
    <w:p w:rsidR="00D814B8" w:rsidRDefault="0053412E">
      <w:pPr>
        <w:pStyle w:val="Nagwek2"/>
        <w:keepNext w:val="0"/>
        <w:keepLines w:val="0"/>
        <w:pageBreakBefore/>
        <w:widowControl w:val="0"/>
        <w:spacing w:before="240"/>
      </w:pPr>
      <w:bookmarkStart w:id="1255" w:name="_Toc10640731"/>
      <w:bookmarkStart w:id="1256" w:name="_Toc10737258"/>
      <w:bookmarkStart w:id="1257" w:name="_Toc10792904"/>
      <w:bookmarkStart w:id="1258" w:name="_Toc10817392"/>
      <w:bookmarkStart w:id="1259" w:name="_Toc13481725"/>
      <w:bookmarkStart w:id="1260" w:name="_Toc13559411"/>
      <w:bookmarkStart w:id="1261" w:name="_Toc13651298"/>
      <w:bookmarkStart w:id="1262" w:name="_Toc14429266"/>
      <w:r>
        <w:lastRenderedPageBreak/>
        <w:t>Podd</w:t>
      </w:r>
      <w:r>
        <w:t>ziałanie 19.4 – koszty bieżące i aktywizacja</w:t>
      </w:r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1263" w:name="_Toc9422443"/>
      <w:bookmarkStart w:id="1264" w:name="_Toc9505057"/>
      <w:bookmarkStart w:id="1265" w:name="_Toc9594651"/>
      <w:bookmarkStart w:id="1266" w:name="_Toc9866966"/>
      <w:bookmarkStart w:id="1267" w:name="_Toc9924670"/>
      <w:bookmarkStart w:id="1268" w:name="_Toc10015053"/>
      <w:bookmarkStart w:id="1269" w:name="_Toc10556828"/>
      <w:bookmarkStart w:id="1270" w:name="_Toc10640732"/>
      <w:bookmarkStart w:id="1271" w:name="_Toc10737259"/>
      <w:bookmarkStart w:id="1272" w:name="_Toc10792905"/>
      <w:bookmarkStart w:id="1273" w:name="_Toc10817393"/>
      <w:bookmarkStart w:id="1274" w:name="_Toc13481726"/>
      <w:bookmarkStart w:id="1275" w:name="_Toc13559412"/>
      <w:bookmarkStart w:id="1276" w:name="_Toc13651299"/>
      <w:bookmarkStart w:id="1277" w:name="_Toc14429267"/>
      <w:r>
        <w:t>Wniosek o przyznanie pomocy (W-1_19.4)</w:t>
      </w:r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</w:p>
    <w:p w:rsidR="00D814B8" w:rsidRDefault="0053412E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D814B8" w:rsidRDefault="0053412E">
      <w:pPr>
        <w:pStyle w:val="Nagwek3"/>
        <w:keepNext w:val="0"/>
        <w:keepLines w:val="0"/>
        <w:widowControl w:val="0"/>
        <w:spacing w:before="240"/>
      </w:pPr>
      <w:bookmarkStart w:id="1278" w:name="_Toc9422444"/>
      <w:bookmarkStart w:id="1279" w:name="_Toc9505058"/>
      <w:bookmarkStart w:id="1280" w:name="_Toc9594652"/>
      <w:bookmarkStart w:id="1281" w:name="_Toc9866967"/>
      <w:bookmarkStart w:id="1282" w:name="_Toc9924671"/>
      <w:bookmarkStart w:id="1283" w:name="_Toc10015054"/>
      <w:bookmarkStart w:id="1284" w:name="_Toc10556829"/>
      <w:bookmarkStart w:id="1285" w:name="_Toc10640733"/>
      <w:bookmarkStart w:id="1286" w:name="_Toc10737260"/>
      <w:bookmarkStart w:id="1287" w:name="_Toc10792906"/>
      <w:bookmarkStart w:id="1288" w:name="_Toc10817394"/>
      <w:bookmarkStart w:id="1289" w:name="_Toc13481727"/>
      <w:bookmarkStart w:id="1290" w:name="_Toc13559413"/>
      <w:bookmarkStart w:id="1291" w:name="_Toc13651300"/>
      <w:bookmarkStart w:id="1292" w:name="_Toc14429268"/>
      <w:r>
        <w:t>Wniosek o płatność (W-2_19.4</w:t>
      </w:r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</w:p>
    <w:p w:rsidR="00D814B8" w:rsidRDefault="0053412E">
      <w:pPr>
        <w:widowControl w:val="0"/>
        <w:spacing w:before="240" w:after="0"/>
      </w:pPr>
      <w:r>
        <w:rPr>
          <w:sz w:val="20"/>
          <w:szCs w:val="20"/>
        </w:rPr>
        <w:t>W przygotowaniu</w:t>
      </w:r>
    </w:p>
    <w:sectPr w:rsidR="00D814B8">
      <w:footerReference w:type="default" r:id="rId344"/>
      <w:pgSz w:w="11906" w:h="16838"/>
      <w:pgMar w:top="720" w:right="720" w:bottom="720" w:left="720" w:header="708" w:footer="57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12E" w:rsidRDefault="0053412E">
      <w:pPr>
        <w:spacing w:after="0"/>
      </w:pPr>
      <w:r>
        <w:separator/>
      </w:r>
    </w:p>
  </w:endnote>
  <w:endnote w:type="continuationSeparator" w:id="0">
    <w:p w:rsidR="0053412E" w:rsidRDefault="005341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E2" w:rsidRDefault="0053412E">
    <w:pPr>
      <w:pStyle w:val="Stopka"/>
      <w:jc w:val="right"/>
    </w:pPr>
    <w:r>
      <w:rPr>
        <w:rFonts w:ascii="Calibri Light" w:eastAsia="Times New Roman" w:hAnsi="Calibri Light"/>
        <w:sz w:val="20"/>
        <w:szCs w:val="20"/>
      </w:rPr>
      <w:t xml:space="preserve">str. </w:t>
    </w:r>
    <w:r>
      <w:rPr>
        <w:rFonts w:ascii="Calibri Light" w:eastAsia="Times New Roman" w:hAnsi="Calibri Light"/>
        <w:sz w:val="20"/>
        <w:szCs w:val="20"/>
      </w:rPr>
      <w:fldChar w:fldCharType="begin"/>
    </w:r>
    <w:r>
      <w:rPr>
        <w:rFonts w:ascii="Calibri Light" w:eastAsia="Times New Roman" w:hAnsi="Calibri Light"/>
        <w:sz w:val="20"/>
        <w:szCs w:val="20"/>
      </w:rPr>
      <w:instrText xml:space="preserve"> PAGE </w:instrText>
    </w:r>
    <w:r>
      <w:rPr>
        <w:rFonts w:ascii="Calibri Light" w:eastAsia="Times New Roman" w:hAnsi="Calibri Light"/>
        <w:sz w:val="20"/>
        <w:szCs w:val="20"/>
      </w:rPr>
      <w:fldChar w:fldCharType="separate"/>
    </w:r>
    <w:r w:rsidR="002F55BB">
      <w:rPr>
        <w:rFonts w:ascii="Calibri Light" w:eastAsia="Times New Roman" w:hAnsi="Calibri Light"/>
        <w:noProof/>
        <w:sz w:val="20"/>
        <w:szCs w:val="20"/>
      </w:rPr>
      <w:t>20</w:t>
    </w:r>
    <w:r>
      <w:rPr>
        <w:rFonts w:ascii="Calibri Light" w:eastAsia="Times New Roman" w:hAnsi="Calibri Ligh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12E" w:rsidRDefault="0053412E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53412E" w:rsidRDefault="0053412E">
      <w:pPr>
        <w:spacing w:after="0"/>
      </w:pPr>
      <w:r>
        <w:continuationSeparator/>
      </w:r>
    </w:p>
  </w:footnote>
  <w:footnote w:id="1">
    <w:p w:rsidR="00D814B8" w:rsidRDefault="005341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8"/>
          <w:szCs w:val="18"/>
        </w:rPr>
        <w:t>„wprowadzana”, gdyż – w przeciwieństwie do formuły, którą można zastąpić „ręcznie” wpisaną wartością – regu</w:t>
      </w:r>
      <w:r>
        <w:rPr>
          <w:i/>
          <w:sz w:val="18"/>
          <w:szCs w:val="18"/>
        </w:rPr>
        <w:t>ły poprawności nie da się zignorować. Excel nie pozwoli nam wyjść z pola dopóki dane nie spełnią określonych kryteriów lub nie wycofamy zmian – np. klawiszem [Esc]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C6B68"/>
    <w:multiLevelType w:val="multilevel"/>
    <w:tmpl w:val="96907D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DD36B96"/>
    <w:multiLevelType w:val="multilevel"/>
    <w:tmpl w:val="4AF02D9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25FB4FEF"/>
    <w:multiLevelType w:val="multilevel"/>
    <w:tmpl w:val="96B884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8BA25D7"/>
    <w:multiLevelType w:val="multilevel"/>
    <w:tmpl w:val="BCEA17E2"/>
    <w:lvl w:ilvl="0">
      <w:start w:val="1"/>
      <w:numFmt w:val="lowerLetter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D2651D3"/>
    <w:multiLevelType w:val="multilevel"/>
    <w:tmpl w:val="A50C6D4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4AC35F85"/>
    <w:multiLevelType w:val="multilevel"/>
    <w:tmpl w:val="8A7C5F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541E9F"/>
    <w:multiLevelType w:val="multilevel"/>
    <w:tmpl w:val="E1F893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43578B0"/>
    <w:multiLevelType w:val="multilevel"/>
    <w:tmpl w:val="A822B5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7362248"/>
    <w:multiLevelType w:val="multilevel"/>
    <w:tmpl w:val="95764C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D814B8"/>
    <w:rsid w:val="002F55BB"/>
    <w:rsid w:val="0053412E"/>
    <w:rsid w:val="00D8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C306A-908C-4E65-BCBA-79399548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ytu">
    <w:name w:val="Title"/>
    <w:basedOn w:val="Normalny"/>
    <w:next w:val="Normalny"/>
    <w:pPr>
      <w:spacing w:after="0"/>
    </w:pPr>
    <w:rPr>
      <w:rFonts w:ascii="Calibri Light" w:eastAsia="Times New Roman" w:hAnsi="Calibri Light"/>
      <w:spacing w:val="-10"/>
      <w:kern w:val="3"/>
      <w:sz w:val="56"/>
      <w:szCs w:val="56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styleId="Hipercze">
    <w:name w:val="Hyperlink"/>
    <w:basedOn w:val="Domylnaczcionkaakapitu"/>
    <w:rPr>
      <w:color w:val="0563C1"/>
      <w:u w:val="single"/>
    </w:rPr>
  </w:style>
  <w:style w:type="paragraph" w:styleId="Nagwekspisutreci">
    <w:name w:val="TOC Heading"/>
    <w:basedOn w:val="Nagwek1"/>
    <w:next w:val="Normalny"/>
    <w:rPr>
      <w:lang w:eastAsia="pl-PL"/>
    </w:rPr>
  </w:style>
  <w:style w:type="paragraph" w:styleId="Spistreci1">
    <w:name w:val="toc 1"/>
    <w:basedOn w:val="Normalny"/>
    <w:next w:val="Normalny"/>
    <w:autoRedefine/>
    <w:pPr>
      <w:tabs>
        <w:tab w:val="right" w:leader="dot" w:pos="10456"/>
      </w:tabs>
      <w:spacing w:after="100"/>
    </w:pPr>
  </w:style>
  <w:style w:type="character" w:styleId="UyteHipercze">
    <w:name w:val="FollowedHyperlink"/>
    <w:basedOn w:val="Domylnaczcionkaakapitu"/>
    <w:rPr>
      <w:color w:val="954F72"/>
      <w:u w:val="single"/>
    </w:rPr>
  </w:style>
  <w:style w:type="character" w:styleId="Wyrnieniedelikatne">
    <w:name w:val="Subtle Emphasis"/>
    <w:basedOn w:val="Domylnaczcionkaakapitu"/>
    <w:rPr>
      <w:i/>
      <w:iCs/>
      <w:color w:val="40404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pPr>
      <w:ind w:left="720"/>
    </w:pPr>
  </w:style>
  <w:style w:type="character" w:customStyle="1" w:styleId="Nagwek2Znak">
    <w:name w:val="Nagłówek 2 Znak"/>
    <w:basedOn w:val="Domylnaczcionkaakapitu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Spistreci2">
    <w:name w:val="toc 2"/>
    <w:basedOn w:val="Normalny"/>
    <w:next w:val="Normalny"/>
    <w:autoRedefine/>
    <w:pPr>
      <w:spacing w:after="100"/>
      <w:ind w:left="220"/>
    </w:pPr>
  </w:style>
  <w:style w:type="character" w:customStyle="1" w:styleId="Nagwek3Znak">
    <w:name w:val="Nagłówek 3 Znak"/>
    <w:basedOn w:val="Domylnaczcionkaakapitu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Spistreci3">
    <w:name w:val="toc 3"/>
    <w:basedOn w:val="Normalny"/>
    <w:next w:val="Normalny"/>
    <w:autoRedefine/>
    <w:pPr>
      <w:spacing w:after="100"/>
      <w:ind w:left="440"/>
    </w:pPr>
  </w:style>
  <w:style w:type="paragraph" w:styleId="Tekstprzypisudolnego">
    <w:name w:val="footnote text"/>
    <w:basedOn w:val="Normalny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sz w:val="20"/>
      <w:szCs w:val="20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Nagwek4Znak">
    <w:name w:val="Nagłówek 4 Znak"/>
    <w:basedOn w:val="Domylnaczcionkaakapitu"/>
    <w:rPr>
      <w:rFonts w:ascii="Calibri Light" w:eastAsia="Times New Roman" w:hAnsi="Calibri Light" w:cs="Times New Roman"/>
      <w:i/>
      <w:iCs/>
      <w:color w:val="2E74B5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Tekstdymka">
    <w:name w:val="Balloon Text"/>
    <w:basedOn w:val="Normalny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paragraph" w:styleId="Poprawka">
    <w:name w:val="Revision"/>
    <w:pPr>
      <w:spacing w:after="0"/>
      <w:textAlignment w:val="auto"/>
    </w:pPr>
  </w:style>
  <w:style w:type="character" w:customStyle="1" w:styleId="AkapitzlistZnak">
    <w:name w:val="Akapit z listą Znak"/>
  </w:style>
  <w:style w:type="paragraph" w:styleId="Spistreci4">
    <w:name w:val="toc 4"/>
    <w:basedOn w:val="Normalny"/>
    <w:next w:val="Normalny"/>
    <w:autoRedefine/>
    <w:pPr>
      <w:spacing w:after="100"/>
      <w:ind w:left="660"/>
    </w:pPr>
  </w:style>
  <w:style w:type="paragraph" w:styleId="Tekstpodstawowy">
    <w:name w:val="Body Text"/>
    <w:basedOn w:val="Normalny"/>
    <w:pPr>
      <w:suppressAutoHyphens w:val="0"/>
      <w:spacing w:after="0"/>
      <w:jc w:val="center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pPr>
      <w:suppressAutoHyphens/>
      <w:spacing w:after="0"/>
    </w:pPr>
  </w:style>
  <w:style w:type="paragraph" w:styleId="Spistreci5">
    <w:name w:val="toc 5"/>
    <w:basedOn w:val="Normalny"/>
    <w:next w:val="Normalny"/>
    <w:autoRedefine/>
    <w:pPr>
      <w:suppressAutoHyphens w:val="0"/>
      <w:spacing w:after="100" w:line="256" w:lineRule="auto"/>
      <w:ind w:left="880"/>
      <w:textAlignment w:val="auto"/>
    </w:pPr>
    <w:rPr>
      <w:rFonts w:eastAsia="Times New Roman"/>
      <w:lang w:eastAsia="pl-PL"/>
    </w:rPr>
  </w:style>
  <w:style w:type="paragraph" w:styleId="Spistreci6">
    <w:name w:val="toc 6"/>
    <w:basedOn w:val="Normalny"/>
    <w:next w:val="Normalny"/>
    <w:autoRedefine/>
    <w:pPr>
      <w:suppressAutoHyphens w:val="0"/>
      <w:spacing w:after="100" w:line="256" w:lineRule="auto"/>
      <w:ind w:left="1100"/>
      <w:textAlignment w:val="auto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pPr>
      <w:suppressAutoHyphens w:val="0"/>
      <w:spacing w:after="100" w:line="256" w:lineRule="auto"/>
      <w:ind w:left="1320"/>
      <w:textAlignment w:val="auto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pPr>
      <w:suppressAutoHyphens w:val="0"/>
      <w:spacing w:after="100" w:line="256" w:lineRule="auto"/>
      <w:ind w:left="1540"/>
      <w:textAlignment w:val="auto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pPr>
      <w:suppressAutoHyphens w:val="0"/>
      <w:spacing w:after="100" w:line="256" w:lineRule="auto"/>
      <w:ind w:left="1760"/>
      <w:textAlignment w:val="auto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#_Toc14429268" TargetMode="External"/><Relationship Id="rId299" Type="http://schemas.openxmlformats.org/officeDocument/2006/relationships/hyperlink" Target="#WstawWier" TargetMode="External"/><Relationship Id="rId21" Type="http://schemas.openxmlformats.org/officeDocument/2006/relationships/hyperlink" Target="#_Toc14429172" TargetMode="External"/><Relationship Id="rId63" Type="http://schemas.openxmlformats.org/officeDocument/2006/relationships/hyperlink" Target="#_Toc14429214" TargetMode="External"/><Relationship Id="rId159" Type="http://schemas.openxmlformats.org/officeDocument/2006/relationships/image" Target="media/image27.png"/><Relationship Id="rId324" Type="http://schemas.openxmlformats.org/officeDocument/2006/relationships/hyperlink" Target="#WstawWier" TargetMode="External"/><Relationship Id="rId170" Type="http://schemas.openxmlformats.org/officeDocument/2006/relationships/hyperlink" Target="mailto:tadeusz.korobkow@arimr.gov.pl" TargetMode="External"/><Relationship Id="rId226" Type="http://schemas.openxmlformats.org/officeDocument/2006/relationships/image" Target="media/image58.png"/><Relationship Id="rId268" Type="http://schemas.openxmlformats.org/officeDocument/2006/relationships/image" Target="media/image81.png"/><Relationship Id="rId32" Type="http://schemas.openxmlformats.org/officeDocument/2006/relationships/hyperlink" Target="#_Toc14429183" TargetMode="External"/><Relationship Id="rId74" Type="http://schemas.openxmlformats.org/officeDocument/2006/relationships/hyperlink" Target="#_Toc14429225" TargetMode="External"/><Relationship Id="rId128" Type="http://schemas.openxmlformats.org/officeDocument/2006/relationships/hyperlink" Target="http://excelszkolenie.pl/Wstep.htm" TargetMode="External"/><Relationship Id="rId335" Type="http://schemas.openxmlformats.org/officeDocument/2006/relationships/hyperlink" Target="#WstawWier" TargetMode="External"/><Relationship Id="rId5" Type="http://schemas.openxmlformats.org/officeDocument/2006/relationships/footnotes" Target="footnotes.xml"/><Relationship Id="rId181" Type="http://schemas.openxmlformats.org/officeDocument/2006/relationships/oleObject" Target="embeddings/oleObject18.bin"/><Relationship Id="rId237" Type="http://schemas.openxmlformats.org/officeDocument/2006/relationships/image" Target="media/image63.png"/><Relationship Id="rId279" Type="http://schemas.openxmlformats.org/officeDocument/2006/relationships/hyperlink" Target="#_Dodawanie_wierszy_wraz" TargetMode="External"/><Relationship Id="rId43" Type="http://schemas.openxmlformats.org/officeDocument/2006/relationships/hyperlink" Target="#_Toc14429194" TargetMode="External"/><Relationship Id="rId139" Type="http://schemas.openxmlformats.org/officeDocument/2006/relationships/oleObject" Target="embeddings/oleObject4.bin"/><Relationship Id="rId290" Type="http://schemas.openxmlformats.org/officeDocument/2006/relationships/hyperlink" Target="#WstawWier" TargetMode="External"/><Relationship Id="rId304" Type="http://schemas.openxmlformats.org/officeDocument/2006/relationships/hyperlink" Target="#WstawWier" TargetMode="External"/><Relationship Id="rId346" Type="http://schemas.openxmlformats.org/officeDocument/2006/relationships/theme" Target="theme/theme1.xml"/><Relationship Id="rId85" Type="http://schemas.openxmlformats.org/officeDocument/2006/relationships/hyperlink" Target="#_Toc14429236" TargetMode="External"/><Relationship Id="rId150" Type="http://schemas.openxmlformats.org/officeDocument/2006/relationships/image" Target="media/image21.png"/><Relationship Id="rId192" Type="http://schemas.openxmlformats.org/officeDocument/2006/relationships/image" Target="media/image42.png"/><Relationship Id="rId206" Type="http://schemas.openxmlformats.org/officeDocument/2006/relationships/oleObject" Target="embeddings/oleObject30.bin"/><Relationship Id="rId248" Type="http://schemas.openxmlformats.org/officeDocument/2006/relationships/oleObject" Target="embeddings/oleObject50.bin"/><Relationship Id="rId12" Type="http://schemas.openxmlformats.org/officeDocument/2006/relationships/hyperlink" Target="#_Toc14429163" TargetMode="External"/><Relationship Id="rId108" Type="http://schemas.openxmlformats.org/officeDocument/2006/relationships/hyperlink" Target="#_Toc14429259" TargetMode="External"/><Relationship Id="rId315" Type="http://schemas.openxmlformats.org/officeDocument/2006/relationships/hyperlink" Target="http://excelszkolenie.pl/" TargetMode="External"/><Relationship Id="rId54" Type="http://schemas.openxmlformats.org/officeDocument/2006/relationships/hyperlink" Target="#_Toc14429205" TargetMode="External"/><Relationship Id="rId96" Type="http://schemas.openxmlformats.org/officeDocument/2006/relationships/hyperlink" Target="#_Toc14429247" TargetMode="External"/><Relationship Id="rId161" Type="http://schemas.openxmlformats.org/officeDocument/2006/relationships/image" Target="media/image28.png"/><Relationship Id="rId217" Type="http://schemas.openxmlformats.org/officeDocument/2006/relationships/oleObject" Target="embeddings/oleObject35.bin"/><Relationship Id="rId259" Type="http://schemas.openxmlformats.org/officeDocument/2006/relationships/image" Target="media/image74.png"/><Relationship Id="rId23" Type="http://schemas.openxmlformats.org/officeDocument/2006/relationships/hyperlink" Target="#_Toc14429174" TargetMode="External"/><Relationship Id="rId119" Type="http://schemas.openxmlformats.org/officeDocument/2006/relationships/hyperlink" Target="#SpisTr" TargetMode="External"/><Relationship Id="rId270" Type="http://schemas.openxmlformats.org/officeDocument/2006/relationships/image" Target="media/image83.png"/><Relationship Id="rId326" Type="http://schemas.openxmlformats.org/officeDocument/2006/relationships/image" Target="media/image111.png"/><Relationship Id="rId65" Type="http://schemas.openxmlformats.org/officeDocument/2006/relationships/hyperlink" Target="#_Toc14429216" TargetMode="External"/><Relationship Id="rId130" Type="http://schemas.openxmlformats.org/officeDocument/2006/relationships/image" Target="media/image10.png"/><Relationship Id="rId172" Type="http://schemas.openxmlformats.org/officeDocument/2006/relationships/oleObject" Target="embeddings/oleObject14.bin"/><Relationship Id="rId228" Type="http://schemas.openxmlformats.org/officeDocument/2006/relationships/image" Target="media/image59.png"/><Relationship Id="rId281" Type="http://schemas.openxmlformats.org/officeDocument/2006/relationships/hyperlink" Target="#WstawWier" TargetMode="External"/><Relationship Id="rId337" Type="http://schemas.openxmlformats.org/officeDocument/2006/relationships/image" Target="media/image117.png"/><Relationship Id="rId34" Type="http://schemas.openxmlformats.org/officeDocument/2006/relationships/hyperlink" Target="#_Toc14429185" TargetMode="External"/><Relationship Id="rId76" Type="http://schemas.openxmlformats.org/officeDocument/2006/relationships/hyperlink" Target="#_Toc14429227" TargetMode="External"/><Relationship Id="rId141" Type="http://schemas.openxmlformats.org/officeDocument/2006/relationships/image" Target="media/image16.png"/><Relationship Id="rId7" Type="http://schemas.openxmlformats.org/officeDocument/2006/relationships/image" Target="media/image1.jpg"/><Relationship Id="rId183" Type="http://schemas.openxmlformats.org/officeDocument/2006/relationships/oleObject" Target="embeddings/oleObject19.bin"/><Relationship Id="rId239" Type="http://schemas.openxmlformats.org/officeDocument/2006/relationships/image" Target="media/image64.png"/><Relationship Id="rId250" Type="http://schemas.openxmlformats.org/officeDocument/2006/relationships/oleObject" Target="embeddings/oleObject51.bin"/><Relationship Id="rId292" Type="http://schemas.openxmlformats.org/officeDocument/2006/relationships/hyperlink" Target="#WstawWier" TargetMode="External"/><Relationship Id="rId306" Type="http://schemas.openxmlformats.org/officeDocument/2006/relationships/image" Target="media/image98.png"/><Relationship Id="rId45" Type="http://schemas.openxmlformats.org/officeDocument/2006/relationships/hyperlink" Target="#_Toc14429196" TargetMode="External"/><Relationship Id="rId87" Type="http://schemas.openxmlformats.org/officeDocument/2006/relationships/hyperlink" Target="#_Toc14429238" TargetMode="External"/><Relationship Id="rId110" Type="http://schemas.openxmlformats.org/officeDocument/2006/relationships/hyperlink" Target="#_Toc14429261" TargetMode="External"/><Relationship Id="rId152" Type="http://schemas.openxmlformats.org/officeDocument/2006/relationships/hyperlink" Target="#_Wst&#281;p" TargetMode="External"/><Relationship Id="rId194" Type="http://schemas.openxmlformats.org/officeDocument/2006/relationships/image" Target="media/image43.png"/><Relationship Id="rId208" Type="http://schemas.openxmlformats.org/officeDocument/2006/relationships/oleObject" Target="embeddings/oleObject31.bin"/><Relationship Id="rId261" Type="http://schemas.openxmlformats.org/officeDocument/2006/relationships/image" Target="media/image76.png"/><Relationship Id="rId14" Type="http://schemas.openxmlformats.org/officeDocument/2006/relationships/hyperlink" Target="#_Toc14429165" TargetMode="External"/><Relationship Id="rId35" Type="http://schemas.openxmlformats.org/officeDocument/2006/relationships/hyperlink" Target="#_Toc14429186" TargetMode="External"/><Relationship Id="rId56" Type="http://schemas.openxmlformats.org/officeDocument/2006/relationships/hyperlink" Target="#_Toc14429207" TargetMode="External"/><Relationship Id="rId77" Type="http://schemas.openxmlformats.org/officeDocument/2006/relationships/hyperlink" Target="#_Toc14429228" TargetMode="External"/><Relationship Id="rId100" Type="http://schemas.openxmlformats.org/officeDocument/2006/relationships/hyperlink" Target="#_Toc14429251" TargetMode="External"/><Relationship Id="rId282" Type="http://schemas.openxmlformats.org/officeDocument/2006/relationships/hyperlink" Target="#UkryjWiersz" TargetMode="External"/><Relationship Id="rId317" Type="http://schemas.openxmlformats.org/officeDocument/2006/relationships/hyperlink" Target="#UkryjWiersz" TargetMode="External"/><Relationship Id="rId338" Type="http://schemas.openxmlformats.org/officeDocument/2006/relationships/hyperlink" Target="#WstawWier" TargetMode="External"/><Relationship Id="rId8" Type="http://schemas.openxmlformats.org/officeDocument/2006/relationships/hyperlink" Target="#_Toc14429159" TargetMode="External"/><Relationship Id="rId98" Type="http://schemas.openxmlformats.org/officeDocument/2006/relationships/hyperlink" Target="#_Toc14429249" TargetMode="External"/><Relationship Id="rId121" Type="http://schemas.openxmlformats.org/officeDocument/2006/relationships/image" Target="media/image3.png"/><Relationship Id="rId142" Type="http://schemas.openxmlformats.org/officeDocument/2006/relationships/image" Target="media/image17.png"/><Relationship Id="rId163" Type="http://schemas.openxmlformats.org/officeDocument/2006/relationships/image" Target="media/image29.png"/><Relationship Id="rId184" Type="http://schemas.openxmlformats.org/officeDocument/2006/relationships/image" Target="media/image38.png"/><Relationship Id="rId219" Type="http://schemas.openxmlformats.org/officeDocument/2006/relationships/oleObject" Target="embeddings/oleObject36.bin"/><Relationship Id="rId230" Type="http://schemas.openxmlformats.org/officeDocument/2006/relationships/image" Target="media/image60.png"/><Relationship Id="rId251" Type="http://schemas.openxmlformats.org/officeDocument/2006/relationships/image" Target="media/image70.png"/><Relationship Id="rId25" Type="http://schemas.openxmlformats.org/officeDocument/2006/relationships/hyperlink" Target="#_Toc14429176" TargetMode="External"/><Relationship Id="rId46" Type="http://schemas.openxmlformats.org/officeDocument/2006/relationships/hyperlink" Target="#_Toc14429197" TargetMode="External"/><Relationship Id="rId67" Type="http://schemas.openxmlformats.org/officeDocument/2006/relationships/hyperlink" Target="#_Toc14429218" TargetMode="External"/><Relationship Id="rId272" Type="http://schemas.openxmlformats.org/officeDocument/2006/relationships/image" Target="media/image85.png"/><Relationship Id="rId293" Type="http://schemas.openxmlformats.org/officeDocument/2006/relationships/hyperlink" Target="#WstawWier" TargetMode="External"/><Relationship Id="rId307" Type="http://schemas.openxmlformats.org/officeDocument/2006/relationships/image" Target="media/image99.png"/><Relationship Id="rId328" Type="http://schemas.openxmlformats.org/officeDocument/2006/relationships/hyperlink" Target="#_Dodawanie_wierszy_wraz" TargetMode="External"/><Relationship Id="rId88" Type="http://schemas.openxmlformats.org/officeDocument/2006/relationships/hyperlink" Target="#_Toc14429239" TargetMode="External"/><Relationship Id="rId111" Type="http://schemas.openxmlformats.org/officeDocument/2006/relationships/hyperlink" Target="#_Toc14429262" TargetMode="External"/><Relationship Id="rId132" Type="http://schemas.openxmlformats.org/officeDocument/2006/relationships/image" Target="media/image12.png"/><Relationship Id="rId153" Type="http://schemas.openxmlformats.org/officeDocument/2006/relationships/image" Target="media/image23.png"/><Relationship Id="rId174" Type="http://schemas.openxmlformats.org/officeDocument/2006/relationships/oleObject" Target="embeddings/oleObject15.bin"/><Relationship Id="rId195" Type="http://schemas.openxmlformats.org/officeDocument/2006/relationships/oleObject" Target="embeddings/oleObject25.bin"/><Relationship Id="rId209" Type="http://schemas.openxmlformats.org/officeDocument/2006/relationships/image" Target="media/image50.png"/><Relationship Id="rId220" Type="http://schemas.openxmlformats.org/officeDocument/2006/relationships/image" Target="media/image55.png"/><Relationship Id="rId241" Type="http://schemas.openxmlformats.org/officeDocument/2006/relationships/image" Target="media/image65.png"/><Relationship Id="rId15" Type="http://schemas.openxmlformats.org/officeDocument/2006/relationships/hyperlink" Target="#_Toc14429166" TargetMode="External"/><Relationship Id="rId36" Type="http://schemas.openxmlformats.org/officeDocument/2006/relationships/hyperlink" Target="#_Toc14429187" TargetMode="External"/><Relationship Id="rId57" Type="http://schemas.openxmlformats.org/officeDocument/2006/relationships/hyperlink" Target="#_Toc14429208" TargetMode="External"/><Relationship Id="rId262" Type="http://schemas.openxmlformats.org/officeDocument/2006/relationships/image" Target="media/image77.png"/><Relationship Id="rId283" Type="http://schemas.openxmlformats.org/officeDocument/2006/relationships/image" Target="media/image92.png"/><Relationship Id="rId318" Type="http://schemas.openxmlformats.org/officeDocument/2006/relationships/image" Target="media/image105.png"/><Relationship Id="rId339" Type="http://schemas.openxmlformats.org/officeDocument/2006/relationships/hyperlink" Target="#WstawWier" TargetMode="External"/><Relationship Id="rId78" Type="http://schemas.openxmlformats.org/officeDocument/2006/relationships/hyperlink" Target="#_Toc14429229" TargetMode="External"/><Relationship Id="rId99" Type="http://schemas.openxmlformats.org/officeDocument/2006/relationships/hyperlink" Target="#_Toc14429250" TargetMode="External"/><Relationship Id="rId101" Type="http://schemas.openxmlformats.org/officeDocument/2006/relationships/hyperlink" Target="#_Toc14429252" TargetMode="External"/><Relationship Id="rId122" Type="http://schemas.openxmlformats.org/officeDocument/2006/relationships/image" Target="media/image4.jpeg"/><Relationship Id="rId143" Type="http://schemas.openxmlformats.org/officeDocument/2006/relationships/image" Target="media/image18.png"/><Relationship Id="rId164" Type="http://schemas.openxmlformats.org/officeDocument/2006/relationships/hyperlink" Target="#UrzPolFormatDatyKr&#243;tkiej" TargetMode="External"/><Relationship Id="rId185" Type="http://schemas.openxmlformats.org/officeDocument/2006/relationships/oleObject" Target="embeddings/oleObject20.bin"/><Relationship Id="rId9" Type="http://schemas.openxmlformats.org/officeDocument/2006/relationships/hyperlink" Target="#_Toc14429160" TargetMode="External"/><Relationship Id="rId210" Type="http://schemas.openxmlformats.org/officeDocument/2006/relationships/oleObject" Target="embeddings/oleObject32.bin"/><Relationship Id="rId26" Type="http://schemas.openxmlformats.org/officeDocument/2006/relationships/hyperlink" Target="#_Toc14429177" TargetMode="External"/><Relationship Id="rId231" Type="http://schemas.openxmlformats.org/officeDocument/2006/relationships/oleObject" Target="embeddings/oleObject42.bin"/><Relationship Id="rId252" Type="http://schemas.openxmlformats.org/officeDocument/2006/relationships/oleObject" Target="embeddings/oleObject52.bin"/><Relationship Id="rId273" Type="http://schemas.openxmlformats.org/officeDocument/2006/relationships/image" Target="media/image86.png"/><Relationship Id="rId294" Type="http://schemas.openxmlformats.org/officeDocument/2006/relationships/hyperlink" Target="#WstawWier" TargetMode="External"/><Relationship Id="rId308" Type="http://schemas.openxmlformats.org/officeDocument/2006/relationships/image" Target="media/image100.png"/><Relationship Id="rId329" Type="http://schemas.openxmlformats.org/officeDocument/2006/relationships/hyperlink" Target="http://excelszkolenie.pl/" TargetMode="External"/><Relationship Id="rId47" Type="http://schemas.openxmlformats.org/officeDocument/2006/relationships/hyperlink" Target="#_Toc14429198" TargetMode="External"/><Relationship Id="rId68" Type="http://schemas.openxmlformats.org/officeDocument/2006/relationships/hyperlink" Target="#_Toc14429219" TargetMode="External"/><Relationship Id="rId89" Type="http://schemas.openxmlformats.org/officeDocument/2006/relationships/hyperlink" Target="#_Toc14429240" TargetMode="External"/><Relationship Id="rId112" Type="http://schemas.openxmlformats.org/officeDocument/2006/relationships/hyperlink" Target="#_Toc14429263" TargetMode="External"/><Relationship Id="rId133" Type="http://schemas.openxmlformats.org/officeDocument/2006/relationships/oleObject" Target="embeddings/oleObject1.bin"/><Relationship Id="rId154" Type="http://schemas.openxmlformats.org/officeDocument/2006/relationships/image" Target="media/image24.png"/><Relationship Id="rId175" Type="http://schemas.openxmlformats.org/officeDocument/2006/relationships/hyperlink" Target="http://excelszkolenie.pl/Wstep.htm" TargetMode="External"/><Relationship Id="rId340" Type="http://schemas.openxmlformats.org/officeDocument/2006/relationships/hyperlink" Target="#WstawWier" TargetMode="External"/><Relationship Id="rId196" Type="http://schemas.openxmlformats.org/officeDocument/2006/relationships/image" Target="media/image44.png"/><Relationship Id="rId200" Type="http://schemas.openxmlformats.org/officeDocument/2006/relationships/image" Target="media/image46.png"/><Relationship Id="rId16" Type="http://schemas.openxmlformats.org/officeDocument/2006/relationships/hyperlink" Target="#_Toc14429167" TargetMode="External"/><Relationship Id="rId221" Type="http://schemas.openxmlformats.org/officeDocument/2006/relationships/oleObject" Target="embeddings/oleObject37.bin"/><Relationship Id="rId242" Type="http://schemas.openxmlformats.org/officeDocument/2006/relationships/oleObject" Target="embeddings/oleObject47.bin"/><Relationship Id="rId263" Type="http://schemas.openxmlformats.org/officeDocument/2006/relationships/image" Target="media/image78.png"/><Relationship Id="rId284" Type="http://schemas.openxmlformats.org/officeDocument/2006/relationships/image" Target="media/image93.png"/><Relationship Id="rId319" Type="http://schemas.openxmlformats.org/officeDocument/2006/relationships/image" Target="media/image106.png"/><Relationship Id="rId37" Type="http://schemas.openxmlformats.org/officeDocument/2006/relationships/hyperlink" Target="#_Toc14429188" TargetMode="External"/><Relationship Id="rId58" Type="http://schemas.openxmlformats.org/officeDocument/2006/relationships/hyperlink" Target="#_Toc14429209" TargetMode="External"/><Relationship Id="rId79" Type="http://schemas.openxmlformats.org/officeDocument/2006/relationships/hyperlink" Target="#_Toc14429230" TargetMode="External"/><Relationship Id="rId102" Type="http://schemas.openxmlformats.org/officeDocument/2006/relationships/hyperlink" Target="#_Toc14429253" TargetMode="External"/><Relationship Id="rId123" Type="http://schemas.openxmlformats.org/officeDocument/2006/relationships/image" Target="media/image5.jpeg"/><Relationship Id="rId144" Type="http://schemas.openxmlformats.org/officeDocument/2006/relationships/oleObject" Target="embeddings/oleObject5.bin"/><Relationship Id="rId330" Type="http://schemas.openxmlformats.org/officeDocument/2006/relationships/hyperlink" Target="#WstawWier" TargetMode="External"/><Relationship Id="rId90" Type="http://schemas.openxmlformats.org/officeDocument/2006/relationships/hyperlink" Target="#_Toc14429241" TargetMode="External"/><Relationship Id="rId165" Type="http://schemas.openxmlformats.org/officeDocument/2006/relationships/hyperlink" Target="mailto:tadeusz.korobkow@arimr.gov.pl" TargetMode="External"/><Relationship Id="rId186" Type="http://schemas.openxmlformats.org/officeDocument/2006/relationships/image" Target="media/image39.png"/><Relationship Id="rId211" Type="http://schemas.openxmlformats.org/officeDocument/2006/relationships/image" Target="media/image51.png"/><Relationship Id="rId232" Type="http://schemas.openxmlformats.org/officeDocument/2006/relationships/image" Target="media/image61.png"/><Relationship Id="rId253" Type="http://schemas.openxmlformats.org/officeDocument/2006/relationships/image" Target="media/image71.png"/><Relationship Id="rId274" Type="http://schemas.openxmlformats.org/officeDocument/2006/relationships/image" Target="media/image87.png"/><Relationship Id="rId295" Type="http://schemas.openxmlformats.org/officeDocument/2006/relationships/hyperlink" Target="#WstawWier" TargetMode="External"/><Relationship Id="rId309" Type="http://schemas.openxmlformats.org/officeDocument/2006/relationships/image" Target="media/image101.png"/><Relationship Id="rId27" Type="http://schemas.openxmlformats.org/officeDocument/2006/relationships/hyperlink" Target="#_Toc14429178" TargetMode="External"/><Relationship Id="rId48" Type="http://schemas.openxmlformats.org/officeDocument/2006/relationships/hyperlink" Target="#_Toc14429199" TargetMode="External"/><Relationship Id="rId69" Type="http://schemas.openxmlformats.org/officeDocument/2006/relationships/hyperlink" Target="#_Toc14429220" TargetMode="External"/><Relationship Id="rId113" Type="http://schemas.openxmlformats.org/officeDocument/2006/relationships/hyperlink" Target="#_Toc14429264" TargetMode="External"/><Relationship Id="rId134" Type="http://schemas.openxmlformats.org/officeDocument/2006/relationships/image" Target="media/image13.png"/><Relationship Id="rId320" Type="http://schemas.openxmlformats.org/officeDocument/2006/relationships/image" Target="media/image107.png"/><Relationship Id="rId80" Type="http://schemas.openxmlformats.org/officeDocument/2006/relationships/hyperlink" Target="#_Toc14429231" TargetMode="External"/><Relationship Id="rId155" Type="http://schemas.openxmlformats.org/officeDocument/2006/relationships/image" Target="media/image25.png"/><Relationship Id="rId176" Type="http://schemas.openxmlformats.org/officeDocument/2006/relationships/image" Target="media/image34.png"/><Relationship Id="rId197" Type="http://schemas.openxmlformats.org/officeDocument/2006/relationships/oleObject" Target="embeddings/oleObject26.bin"/><Relationship Id="rId341" Type="http://schemas.openxmlformats.org/officeDocument/2006/relationships/hyperlink" Target="#WstawWier" TargetMode="External"/><Relationship Id="rId201" Type="http://schemas.openxmlformats.org/officeDocument/2006/relationships/oleObject" Target="embeddings/oleObject28.bin"/><Relationship Id="rId222" Type="http://schemas.openxmlformats.org/officeDocument/2006/relationships/image" Target="media/image56.png"/><Relationship Id="rId243" Type="http://schemas.openxmlformats.org/officeDocument/2006/relationships/image" Target="media/image66.png"/><Relationship Id="rId264" Type="http://schemas.openxmlformats.org/officeDocument/2006/relationships/image" Target="media/image79.png"/><Relationship Id="rId285" Type="http://schemas.openxmlformats.org/officeDocument/2006/relationships/image" Target="media/image94.png"/><Relationship Id="rId17" Type="http://schemas.openxmlformats.org/officeDocument/2006/relationships/hyperlink" Target="#_Toc14429168" TargetMode="External"/><Relationship Id="rId38" Type="http://schemas.openxmlformats.org/officeDocument/2006/relationships/hyperlink" Target="#_Toc14429189" TargetMode="External"/><Relationship Id="rId59" Type="http://schemas.openxmlformats.org/officeDocument/2006/relationships/hyperlink" Target="#_Toc14429210" TargetMode="External"/><Relationship Id="rId103" Type="http://schemas.openxmlformats.org/officeDocument/2006/relationships/hyperlink" Target="#_Toc14429254" TargetMode="External"/><Relationship Id="rId124" Type="http://schemas.openxmlformats.org/officeDocument/2006/relationships/image" Target="media/image6.jpeg"/><Relationship Id="rId310" Type="http://schemas.openxmlformats.org/officeDocument/2006/relationships/image" Target="media/image102.png"/><Relationship Id="rId70" Type="http://schemas.openxmlformats.org/officeDocument/2006/relationships/hyperlink" Target="#_Toc14429221" TargetMode="External"/><Relationship Id="rId91" Type="http://schemas.openxmlformats.org/officeDocument/2006/relationships/hyperlink" Target="#_Toc14429242" TargetMode="External"/><Relationship Id="rId145" Type="http://schemas.openxmlformats.org/officeDocument/2006/relationships/image" Target="media/image19.png"/><Relationship Id="rId166" Type="http://schemas.openxmlformats.org/officeDocument/2006/relationships/image" Target="media/image30.png"/><Relationship Id="rId187" Type="http://schemas.openxmlformats.org/officeDocument/2006/relationships/oleObject" Target="embeddings/oleObject21.bin"/><Relationship Id="rId331" Type="http://schemas.openxmlformats.org/officeDocument/2006/relationships/hyperlink" Target="#UkryjWiersz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33.bin"/><Relationship Id="rId233" Type="http://schemas.openxmlformats.org/officeDocument/2006/relationships/oleObject" Target="embeddings/oleObject43.bin"/><Relationship Id="rId254" Type="http://schemas.openxmlformats.org/officeDocument/2006/relationships/oleObject" Target="embeddings/oleObject53.bin"/><Relationship Id="rId28" Type="http://schemas.openxmlformats.org/officeDocument/2006/relationships/hyperlink" Target="#_Toc14429179" TargetMode="External"/><Relationship Id="rId49" Type="http://schemas.openxmlformats.org/officeDocument/2006/relationships/hyperlink" Target="#_Toc14429200" TargetMode="External"/><Relationship Id="rId114" Type="http://schemas.openxmlformats.org/officeDocument/2006/relationships/hyperlink" Target="#_Toc14429265" TargetMode="External"/><Relationship Id="rId275" Type="http://schemas.openxmlformats.org/officeDocument/2006/relationships/image" Target="media/image88.png"/><Relationship Id="rId296" Type="http://schemas.openxmlformats.org/officeDocument/2006/relationships/hyperlink" Target="#WstawWier" TargetMode="External"/><Relationship Id="rId300" Type="http://schemas.openxmlformats.org/officeDocument/2006/relationships/hyperlink" Target="#WstawWier" TargetMode="External"/><Relationship Id="rId60" Type="http://schemas.openxmlformats.org/officeDocument/2006/relationships/hyperlink" Target="#_Toc14429211" TargetMode="External"/><Relationship Id="rId81" Type="http://schemas.openxmlformats.org/officeDocument/2006/relationships/hyperlink" Target="#_Toc14429232" TargetMode="External"/><Relationship Id="rId135" Type="http://schemas.openxmlformats.org/officeDocument/2006/relationships/oleObject" Target="embeddings/oleObject2.bin"/><Relationship Id="rId156" Type="http://schemas.openxmlformats.org/officeDocument/2006/relationships/oleObject" Target="embeddings/oleObject8.bin"/><Relationship Id="rId177" Type="http://schemas.openxmlformats.org/officeDocument/2006/relationships/oleObject" Target="embeddings/oleObject16.bin"/><Relationship Id="rId198" Type="http://schemas.openxmlformats.org/officeDocument/2006/relationships/image" Target="media/image45.png"/><Relationship Id="rId321" Type="http://schemas.openxmlformats.org/officeDocument/2006/relationships/hyperlink" Target="#WstawWier" TargetMode="External"/><Relationship Id="rId342" Type="http://schemas.openxmlformats.org/officeDocument/2006/relationships/hyperlink" Target="#WstawWier" TargetMode="External"/><Relationship Id="rId202" Type="http://schemas.openxmlformats.org/officeDocument/2006/relationships/hyperlink" Target="#DodatArku" TargetMode="External"/><Relationship Id="rId223" Type="http://schemas.openxmlformats.org/officeDocument/2006/relationships/oleObject" Target="embeddings/oleObject38.bin"/><Relationship Id="rId244" Type="http://schemas.openxmlformats.org/officeDocument/2006/relationships/oleObject" Target="embeddings/oleObject48.bin"/><Relationship Id="rId18" Type="http://schemas.openxmlformats.org/officeDocument/2006/relationships/hyperlink" Target="#_Toc14429169" TargetMode="External"/><Relationship Id="rId39" Type="http://schemas.openxmlformats.org/officeDocument/2006/relationships/hyperlink" Target="#_Toc14429190" TargetMode="External"/><Relationship Id="rId265" Type="http://schemas.openxmlformats.org/officeDocument/2006/relationships/oleObject" Target="embeddings/oleObject56.bin"/><Relationship Id="rId286" Type="http://schemas.openxmlformats.org/officeDocument/2006/relationships/hyperlink" Target="#WstawWier" TargetMode="External"/><Relationship Id="rId50" Type="http://schemas.openxmlformats.org/officeDocument/2006/relationships/hyperlink" Target="#_Toc14429201" TargetMode="External"/><Relationship Id="rId104" Type="http://schemas.openxmlformats.org/officeDocument/2006/relationships/hyperlink" Target="#_Toc14429255" TargetMode="External"/><Relationship Id="rId125" Type="http://schemas.openxmlformats.org/officeDocument/2006/relationships/image" Target="media/image7.jpeg"/><Relationship Id="rId146" Type="http://schemas.openxmlformats.org/officeDocument/2006/relationships/oleObject" Target="embeddings/oleObject6.bin"/><Relationship Id="rId167" Type="http://schemas.openxmlformats.org/officeDocument/2006/relationships/oleObject" Target="embeddings/oleObject12.bin"/><Relationship Id="rId188" Type="http://schemas.openxmlformats.org/officeDocument/2006/relationships/image" Target="media/image40.png"/><Relationship Id="rId311" Type="http://schemas.openxmlformats.org/officeDocument/2006/relationships/image" Target="media/image103.png"/><Relationship Id="rId332" Type="http://schemas.openxmlformats.org/officeDocument/2006/relationships/image" Target="media/image113.png"/><Relationship Id="rId71" Type="http://schemas.openxmlformats.org/officeDocument/2006/relationships/hyperlink" Target="#_Toc14429222" TargetMode="External"/><Relationship Id="rId92" Type="http://schemas.openxmlformats.org/officeDocument/2006/relationships/hyperlink" Target="#_Toc14429243" TargetMode="External"/><Relationship Id="rId213" Type="http://schemas.openxmlformats.org/officeDocument/2006/relationships/hyperlink" Target="#UsuwWier" TargetMode="External"/><Relationship Id="rId234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hyperlink" Target="#_Toc14429180" TargetMode="External"/><Relationship Id="rId255" Type="http://schemas.openxmlformats.org/officeDocument/2006/relationships/image" Target="media/image72.png"/><Relationship Id="rId276" Type="http://schemas.openxmlformats.org/officeDocument/2006/relationships/image" Target="media/image89.png"/><Relationship Id="rId297" Type="http://schemas.openxmlformats.org/officeDocument/2006/relationships/hyperlink" Target="#WstawWier" TargetMode="External"/><Relationship Id="rId40" Type="http://schemas.openxmlformats.org/officeDocument/2006/relationships/hyperlink" Target="#_Toc14429191" TargetMode="External"/><Relationship Id="rId115" Type="http://schemas.openxmlformats.org/officeDocument/2006/relationships/hyperlink" Target="#_Toc14429266" TargetMode="External"/><Relationship Id="rId136" Type="http://schemas.openxmlformats.org/officeDocument/2006/relationships/image" Target="media/image14.png"/><Relationship Id="rId157" Type="http://schemas.openxmlformats.org/officeDocument/2006/relationships/image" Target="media/image26.png"/><Relationship Id="rId178" Type="http://schemas.openxmlformats.org/officeDocument/2006/relationships/image" Target="media/image35.png"/><Relationship Id="rId301" Type="http://schemas.openxmlformats.org/officeDocument/2006/relationships/hyperlink" Target="#WstawWier" TargetMode="External"/><Relationship Id="rId322" Type="http://schemas.openxmlformats.org/officeDocument/2006/relationships/image" Target="media/image108.png"/><Relationship Id="rId343" Type="http://schemas.openxmlformats.org/officeDocument/2006/relationships/hyperlink" Target="#WstawWier" TargetMode="External"/><Relationship Id="rId61" Type="http://schemas.openxmlformats.org/officeDocument/2006/relationships/hyperlink" Target="#_Toc14429212" TargetMode="External"/><Relationship Id="rId82" Type="http://schemas.openxmlformats.org/officeDocument/2006/relationships/hyperlink" Target="#_Toc14429233" TargetMode="External"/><Relationship Id="rId199" Type="http://schemas.openxmlformats.org/officeDocument/2006/relationships/oleObject" Target="embeddings/oleObject27.bin"/><Relationship Id="rId203" Type="http://schemas.openxmlformats.org/officeDocument/2006/relationships/image" Target="media/image47.png"/><Relationship Id="rId19" Type="http://schemas.openxmlformats.org/officeDocument/2006/relationships/hyperlink" Target="#_Toc14429170" TargetMode="External"/><Relationship Id="rId224" Type="http://schemas.openxmlformats.org/officeDocument/2006/relationships/image" Target="media/image57.png"/><Relationship Id="rId245" Type="http://schemas.openxmlformats.org/officeDocument/2006/relationships/image" Target="media/image67.png"/><Relationship Id="rId266" Type="http://schemas.openxmlformats.org/officeDocument/2006/relationships/image" Target="media/image80.png"/><Relationship Id="rId287" Type="http://schemas.openxmlformats.org/officeDocument/2006/relationships/hyperlink" Target="#WstawWier" TargetMode="External"/><Relationship Id="rId30" Type="http://schemas.openxmlformats.org/officeDocument/2006/relationships/hyperlink" Target="#_Toc14429181" TargetMode="External"/><Relationship Id="rId105" Type="http://schemas.openxmlformats.org/officeDocument/2006/relationships/hyperlink" Target="#_Toc14429256" TargetMode="External"/><Relationship Id="rId126" Type="http://schemas.openxmlformats.org/officeDocument/2006/relationships/hyperlink" Target="http://excelszkolenie.pl/Wstep.htm" TargetMode="External"/><Relationship Id="rId147" Type="http://schemas.openxmlformats.org/officeDocument/2006/relationships/image" Target="media/image20.png"/><Relationship Id="rId168" Type="http://schemas.openxmlformats.org/officeDocument/2006/relationships/image" Target="media/image31.png"/><Relationship Id="rId312" Type="http://schemas.openxmlformats.org/officeDocument/2006/relationships/image" Target="media/image104.png"/><Relationship Id="rId333" Type="http://schemas.openxmlformats.org/officeDocument/2006/relationships/image" Target="media/image114.png"/><Relationship Id="rId51" Type="http://schemas.openxmlformats.org/officeDocument/2006/relationships/hyperlink" Target="#_Toc14429202" TargetMode="External"/><Relationship Id="rId72" Type="http://schemas.openxmlformats.org/officeDocument/2006/relationships/hyperlink" Target="#_Toc14429223" TargetMode="External"/><Relationship Id="rId93" Type="http://schemas.openxmlformats.org/officeDocument/2006/relationships/hyperlink" Target="#_Toc14429244" TargetMode="External"/><Relationship Id="rId189" Type="http://schemas.openxmlformats.org/officeDocument/2006/relationships/oleObject" Target="embeddings/oleObject22.bin"/><Relationship Id="rId3" Type="http://schemas.openxmlformats.org/officeDocument/2006/relationships/settings" Target="settings.xml"/><Relationship Id="rId214" Type="http://schemas.openxmlformats.org/officeDocument/2006/relationships/image" Target="media/image52.png"/><Relationship Id="rId235" Type="http://schemas.openxmlformats.org/officeDocument/2006/relationships/oleObject" Target="embeddings/oleObject44.bin"/><Relationship Id="rId256" Type="http://schemas.openxmlformats.org/officeDocument/2006/relationships/oleObject" Target="embeddings/oleObject54.bin"/><Relationship Id="rId277" Type="http://schemas.openxmlformats.org/officeDocument/2006/relationships/image" Target="media/image90.png"/><Relationship Id="rId298" Type="http://schemas.openxmlformats.org/officeDocument/2006/relationships/hyperlink" Target="#WstawWier" TargetMode="External"/><Relationship Id="rId116" Type="http://schemas.openxmlformats.org/officeDocument/2006/relationships/hyperlink" Target="#_Toc14429267" TargetMode="External"/><Relationship Id="rId137" Type="http://schemas.openxmlformats.org/officeDocument/2006/relationships/oleObject" Target="embeddings/oleObject3.bin"/><Relationship Id="rId158" Type="http://schemas.openxmlformats.org/officeDocument/2006/relationships/oleObject" Target="embeddings/oleObject9.bin"/><Relationship Id="rId302" Type="http://schemas.openxmlformats.org/officeDocument/2006/relationships/hyperlink" Target="#WstawWier" TargetMode="External"/><Relationship Id="rId323" Type="http://schemas.openxmlformats.org/officeDocument/2006/relationships/image" Target="media/image109.png"/><Relationship Id="rId344" Type="http://schemas.openxmlformats.org/officeDocument/2006/relationships/footer" Target="footer1.xml"/><Relationship Id="rId20" Type="http://schemas.openxmlformats.org/officeDocument/2006/relationships/hyperlink" Target="#_Toc14429171" TargetMode="External"/><Relationship Id="rId41" Type="http://schemas.openxmlformats.org/officeDocument/2006/relationships/hyperlink" Target="#_Toc14429192" TargetMode="External"/><Relationship Id="rId62" Type="http://schemas.openxmlformats.org/officeDocument/2006/relationships/hyperlink" Target="#_Toc14429213" TargetMode="External"/><Relationship Id="rId83" Type="http://schemas.openxmlformats.org/officeDocument/2006/relationships/hyperlink" Target="#_Toc14429234" TargetMode="External"/><Relationship Id="rId179" Type="http://schemas.openxmlformats.org/officeDocument/2006/relationships/oleObject" Target="embeddings/oleObject17.bin"/><Relationship Id="rId190" Type="http://schemas.openxmlformats.org/officeDocument/2006/relationships/image" Target="media/image41.png"/><Relationship Id="rId204" Type="http://schemas.openxmlformats.org/officeDocument/2006/relationships/oleObject" Target="embeddings/oleObject29.bin"/><Relationship Id="rId225" Type="http://schemas.openxmlformats.org/officeDocument/2006/relationships/oleObject" Target="embeddings/oleObject39.bin"/><Relationship Id="rId246" Type="http://schemas.openxmlformats.org/officeDocument/2006/relationships/oleObject" Target="embeddings/oleObject49.bin"/><Relationship Id="rId267" Type="http://schemas.openxmlformats.org/officeDocument/2006/relationships/hyperlink" Target="#WstawWier" TargetMode="External"/><Relationship Id="rId288" Type="http://schemas.openxmlformats.org/officeDocument/2006/relationships/image" Target="media/image95.png"/><Relationship Id="rId106" Type="http://schemas.openxmlformats.org/officeDocument/2006/relationships/hyperlink" Target="#_Toc14429257" TargetMode="External"/><Relationship Id="rId127" Type="http://schemas.openxmlformats.org/officeDocument/2006/relationships/image" Target="media/image8.jpeg"/><Relationship Id="rId313" Type="http://schemas.openxmlformats.org/officeDocument/2006/relationships/hyperlink" Target="#UkryjWiersz" TargetMode="External"/><Relationship Id="rId10" Type="http://schemas.openxmlformats.org/officeDocument/2006/relationships/hyperlink" Target="#_Toc14429161" TargetMode="External"/><Relationship Id="rId31" Type="http://schemas.openxmlformats.org/officeDocument/2006/relationships/hyperlink" Target="#_Toc14429182" TargetMode="External"/><Relationship Id="rId52" Type="http://schemas.openxmlformats.org/officeDocument/2006/relationships/hyperlink" Target="#_Toc14429203" TargetMode="External"/><Relationship Id="rId73" Type="http://schemas.openxmlformats.org/officeDocument/2006/relationships/hyperlink" Target="#_Toc14429224" TargetMode="External"/><Relationship Id="rId94" Type="http://schemas.openxmlformats.org/officeDocument/2006/relationships/hyperlink" Target="#_Toc14429245" TargetMode="External"/><Relationship Id="rId148" Type="http://schemas.openxmlformats.org/officeDocument/2006/relationships/oleObject" Target="embeddings/oleObject7.bin"/><Relationship Id="rId169" Type="http://schemas.openxmlformats.org/officeDocument/2006/relationships/oleObject" Target="embeddings/oleObject13.bin"/><Relationship Id="rId334" Type="http://schemas.openxmlformats.org/officeDocument/2006/relationships/image" Target="media/image115.png"/><Relationship Id="rId4" Type="http://schemas.openxmlformats.org/officeDocument/2006/relationships/webSettings" Target="webSettings.xml"/><Relationship Id="rId180" Type="http://schemas.openxmlformats.org/officeDocument/2006/relationships/image" Target="media/image36.png"/><Relationship Id="rId215" Type="http://schemas.openxmlformats.org/officeDocument/2006/relationships/oleObject" Target="embeddings/oleObject34.bin"/><Relationship Id="rId236" Type="http://schemas.openxmlformats.org/officeDocument/2006/relationships/hyperlink" Target="mailto:tadeusz.korobkow@arimr.gov.pl" TargetMode="External"/><Relationship Id="rId257" Type="http://schemas.openxmlformats.org/officeDocument/2006/relationships/image" Target="media/image73.png"/><Relationship Id="rId278" Type="http://schemas.openxmlformats.org/officeDocument/2006/relationships/image" Target="media/image91.png"/><Relationship Id="rId303" Type="http://schemas.openxmlformats.org/officeDocument/2006/relationships/hyperlink" Target="#WstawWier" TargetMode="External"/><Relationship Id="rId42" Type="http://schemas.openxmlformats.org/officeDocument/2006/relationships/hyperlink" Target="#_Toc14429193" TargetMode="External"/><Relationship Id="rId84" Type="http://schemas.openxmlformats.org/officeDocument/2006/relationships/hyperlink" Target="#_Toc14429235" TargetMode="External"/><Relationship Id="rId138" Type="http://schemas.openxmlformats.org/officeDocument/2006/relationships/image" Target="media/image15.png"/><Relationship Id="rId345" Type="http://schemas.openxmlformats.org/officeDocument/2006/relationships/fontTable" Target="fontTable.xml"/><Relationship Id="rId191" Type="http://schemas.openxmlformats.org/officeDocument/2006/relationships/oleObject" Target="embeddings/oleObject23.bin"/><Relationship Id="rId205" Type="http://schemas.openxmlformats.org/officeDocument/2006/relationships/image" Target="media/image48.png"/><Relationship Id="rId247" Type="http://schemas.openxmlformats.org/officeDocument/2006/relationships/image" Target="media/image68.png"/><Relationship Id="rId107" Type="http://schemas.openxmlformats.org/officeDocument/2006/relationships/hyperlink" Target="#_Toc14429258" TargetMode="External"/><Relationship Id="rId289" Type="http://schemas.openxmlformats.org/officeDocument/2006/relationships/image" Target="media/image96.png"/><Relationship Id="rId11" Type="http://schemas.openxmlformats.org/officeDocument/2006/relationships/hyperlink" Target="#_Toc14429162" TargetMode="External"/><Relationship Id="rId53" Type="http://schemas.openxmlformats.org/officeDocument/2006/relationships/hyperlink" Target="#_Toc14429204" TargetMode="External"/><Relationship Id="rId149" Type="http://schemas.openxmlformats.org/officeDocument/2006/relationships/hyperlink" Target="#Walidacje" TargetMode="External"/><Relationship Id="rId314" Type="http://schemas.openxmlformats.org/officeDocument/2006/relationships/hyperlink" Target="#_Dodawanie_wierszy_wraz" TargetMode="External"/><Relationship Id="rId95" Type="http://schemas.openxmlformats.org/officeDocument/2006/relationships/hyperlink" Target="#_Toc14429246" TargetMode="External"/><Relationship Id="rId160" Type="http://schemas.openxmlformats.org/officeDocument/2006/relationships/oleObject" Target="embeddings/oleObject10.bin"/><Relationship Id="rId216" Type="http://schemas.openxmlformats.org/officeDocument/2006/relationships/image" Target="media/image53.png"/><Relationship Id="rId258" Type="http://schemas.openxmlformats.org/officeDocument/2006/relationships/oleObject" Target="embeddings/oleObject55.bin"/><Relationship Id="rId22" Type="http://schemas.openxmlformats.org/officeDocument/2006/relationships/hyperlink" Target="#_Toc14429173" TargetMode="External"/><Relationship Id="rId64" Type="http://schemas.openxmlformats.org/officeDocument/2006/relationships/hyperlink" Target="#_Toc14429215" TargetMode="External"/><Relationship Id="rId118" Type="http://schemas.openxmlformats.org/officeDocument/2006/relationships/hyperlink" Target="http://excelszkolenie.pl/" TargetMode="External"/><Relationship Id="rId325" Type="http://schemas.openxmlformats.org/officeDocument/2006/relationships/image" Target="media/image110.png"/><Relationship Id="rId171" Type="http://schemas.openxmlformats.org/officeDocument/2006/relationships/image" Target="media/image32.png"/><Relationship Id="rId227" Type="http://schemas.openxmlformats.org/officeDocument/2006/relationships/oleObject" Target="embeddings/oleObject40.bin"/><Relationship Id="rId269" Type="http://schemas.openxmlformats.org/officeDocument/2006/relationships/image" Target="media/image82.png"/><Relationship Id="rId33" Type="http://schemas.openxmlformats.org/officeDocument/2006/relationships/hyperlink" Target="#_Toc14429184" TargetMode="External"/><Relationship Id="rId129" Type="http://schemas.openxmlformats.org/officeDocument/2006/relationships/image" Target="media/image9.png"/><Relationship Id="rId280" Type="http://schemas.openxmlformats.org/officeDocument/2006/relationships/hyperlink" Target="http://excelszkolenie.pl/" TargetMode="External"/><Relationship Id="rId336" Type="http://schemas.openxmlformats.org/officeDocument/2006/relationships/image" Target="media/image116.png"/><Relationship Id="rId75" Type="http://schemas.openxmlformats.org/officeDocument/2006/relationships/hyperlink" Target="#_Toc14429226" TargetMode="External"/><Relationship Id="rId140" Type="http://schemas.openxmlformats.org/officeDocument/2006/relationships/hyperlink" Target="http://www.arimr.gov.pl/dla-beneficjenta/pobierz-lub-wyslij-wniosek.html" TargetMode="External"/><Relationship Id="rId182" Type="http://schemas.openxmlformats.org/officeDocument/2006/relationships/image" Target="media/image37.png"/><Relationship Id="rId6" Type="http://schemas.openxmlformats.org/officeDocument/2006/relationships/endnotes" Target="endnotes.xml"/><Relationship Id="rId238" Type="http://schemas.openxmlformats.org/officeDocument/2006/relationships/oleObject" Target="embeddings/oleObject45.bin"/><Relationship Id="rId291" Type="http://schemas.openxmlformats.org/officeDocument/2006/relationships/hyperlink" Target="#WstawWier" TargetMode="External"/><Relationship Id="rId305" Type="http://schemas.openxmlformats.org/officeDocument/2006/relationships/image" Target="media/image97.png"/><Relationship Id="rId44" Type="http://schemas.openxmlformats.org/officeDocument/2006/relationships/hyperlink" Target="#_Toc14429195" TargetMode="External"/><Relationship Id="rId86" Type="http://schemas.openxmlformats.org/officeDocument/2006/relationships/hyperlink" Target="#_Toc14429237" TargetMode="External"/><Relationship Id="rId151" Type="http://schemas.openxmlformats.org/officeDocument/2006/relationships/image" Target="media/image22.png"/><Relationship Id="rId193" Type="http://schemas.openxmlformats.org/officeDocument/2006/relationships/oleObject" Target="embeddings/oleObject24.bin"/><Relationship Id="rId207" Type="http://schemas.openxmlformats.org/officeDocument/2006/relationships/image" Target="media/image49.png"/><Relationship Id="rId249" Type="http://schemas.openxmlformats.org/officeDocument/2006/relationships/image" Target="media/image69.png"/><Relationship Id="rId13" Type="http://schemas.openxmlformats.org/officeDocument/2006/relationships/hyperlink" Target="#_Toc14429164" TargetMode="External"/><Relationship Id="rId109" Type="http://schemas.openxmlformats.org/officeDocument/2006/relationships/hyperlink" Target="#_Toc14429260" TargetMode="External"/><Relationship Id="rId260" Type="http://schemas.openxmlformats.org/officeDocument/2006/relationships/image" Target="media/image75.png"/><Relationship Id="rId316" Type="http://schemas.openxmlformats.org/officeDocument/2006/relationships/hyperlink" Target="#WstawWier" TargetMode="External"/><Relationship Id="rId55" Type="http://schemas.openxmlformats.org/officeDocument/2006/relationships/hyperlink" Target="#_Toc14429206" TargetMode="External"/><Relationship Id="rId97" Type="http://schemas.openxmlformats.org/officeDocument/2006/relationships/hyperlink" Target="#_Toc14429248" TargetMode="External"/><Relationship Id="rId120" Type="http://schemas.openxmlformats.org/officeDocument/2006/relationships/image" Target="media/image2.png"/><Relationship Id="rId162" Type="http://schemas.openxmlformats.org/officeDocument/2006/relationships/oleObject" Target="embeddings/oleObject11.bin"/><Relationship Id="rId218" Type="http://schemas.openxmlformats.org/officeDocument/2006/relationships/image" Target="media/image54.png"/><Relationship Id="rId271" Type="http://schemas.openxmlformats.org/officeDocument/2006/relationships/image" Target="media/image84.png"/><Relationship Id="rId24" Type="http://schemas.openxmlformats.org/officeDocument/2006/relationships/hyperlink" Target="#_Toc14429175" TargetMode="External"/><Relationship Id="rId66" Type="http://schemas.openxmlformats.org/officeDocument/2006/relationships/hyperlink" Target="#_Toc14429217" TargetMode="External"/><Relationship Id="rId131" Type="http://schemas.openxmlformats.org/officeDocument/2006/relationships/image" Target="media/image11.png"/><Relationship Id="rId327" Type="http://schemas.openxmlformats.org/officeDocument/2006/relationships/image" Target="media/image112.png"/><Relationship Id="rId173" Type="http://schemas.openxmlformats.org/officeDocument/2006/relationships/image" Target="media/image33.png"/><Relationship Id="rId229" Type="http://schemas.openxmlformats.org/officeDocument/2006/relationships/oleObject" Target="embeddings/oleObject41.bin"/><Relationship Id="rId240" Type="http://schemas.openxmlformats.org/officeDocument/2006/relationships/oleObject" Target="embeddings/oleObject46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23968</Words>
  <Characters>143810</Characters>
  <Application>Microsoft Office Word</Application>
  <DocSecurity>0</DocSecurity>
  <Lines>1198</Lines>
  <Paragraphs>334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Korobkow Tadeusz</dc:creator>
  <dc:description/>
  <cp:lastModifiedBy>Słowińska Grupa Rybacka</cp:lastModifiedBy>
  <cp:revision>2</cp:revision>
  <cp:lastPrinted>2019-06-05T12:58:00Z</cp:lastPrinted>
  <dcterms:created xsi:type="dcterms:W3CDTF">2019-09-28T11:52:00Z</dcterms:created>
  <dcterms:modified xsi:type="dcterms:W3CDTF">2019-09-28T11:52:00Z</dcterms:modified>
</cp:coreProperties>
</file>